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5C0C" w:rsidRDefault="001F5C0C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1F5C0C" w:rsidRDefault="001F5C0C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1F5C0C" w:rsidRDefault="001F5C0C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1F5C0C" w:rsidRDefault="001F5C0C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1F5C0C" w:rsidRDefault="001F5C0C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1F5C0C" w:rsidRDefault="001F5C0C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1F5C0C" w:rsidRDefault="001F5C0C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1F5C0C" w:rsidRDefault="001F5C0C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1F5C0C" w:rsidRDefault="001F5C0C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1F5C0C" w:rsidRDefault="001F5C0C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1F5C0C" w:rsidRDefault="001F5C0C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1F5C0C" w:rsidRDefault="001F5C0C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1F5C0C" w:rsidRDefault="001F5C0C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1F5C0C" w:rsidRDefault="001F5C0C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1F5C0C" w:rsidRDefault="001F5C0C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1F5C0C" w:rsidRDefault="001F5C0C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1F5C0C" w:rsidRDefault="00CD32AA">
      <w:pPr>
        <w:spacing w:after="0" w:line="240" w:lineRule="auto"/>
        <w:jc w:val="center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>О внесении изменений в приказ Минюста России от 6 сентября 2024 г. № 265 «Об утверждении Типового положения о территориальном органе Федеральной службы исполнения наказаний»</w:t>
      </w:r>
    </w:p>
    <w:p w:rsidR="001F5C0C" w:rsidRDefault="001F5C0C">
      <w:pPr>
        <w:spacing w:after="0" w:line="360" w:lineRule="exact"/>
        <w:jc w:val="center"/>
        <w:rPr>
          <w:rFonts w:ascii="PT Astra Serif" w:hAnsi="PT Astra Serif"/>
          <w:b/>
          <w:sz w:val="28"/>
        </w:rPr>
      </w:pPr>
    </w:p>
    <w:p w:rsidR="001F5C0C" w:rsidRDefault="00CD32AA">
      <w:pPr>
        <w:spacing w:after="0"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В соответствии с подпунктом 3 пункта 28 Положения </w:t>
      </w:r>
      <w:r>
        <w:rPr>
          <w:rFonts w:ascii="PT Astra Serif" w:hAnsi="PT Astra Serif"/>
          <w:sz w:val="28"/>
        </w:rPr>
        <w:br/>
        <w:t xml:space="preserve">о Министерстве юстиции Российской Федерации, утвержденного Указом Президента Российской Федерации от 13 января 2023 г. № 10, пунктом 9.9 Типового регламента внутренней организации федеральных органов исполнительной власти, утвержденного постановлением Правительства Российской Федерации от 28 июля 2005 г. № </w:t>
      </w:r>
      <w:proofErr w:type="gramStart"/>
      <w:r>
        <w:rPr>
          <w:rFonts w:ascii="PT Astra Serif" w:hAnsi="PT Astra Serif"/>
          <w:sz w:val="28"/>
        </w:rPr>
        <w:t>452,  п</w:t>
      </w:r>
      <w:proofErr w:type="gramEnd"/>
      <w:r>
        <w:rPr>
          <w:rFonts w:ascii="PT Astra Serif" w:hAnsi="PT Astra Serif"/>
          <w:sz w:val="28"/>
        </w:rPr>
        <w:t xml:space="preserve"> р и к а з ы в а ю:</w:t>
      </w:r>
    </w:p>
    <w:p w:rsidR="001F5C0C" w:rsidRDefault="00CD32AA">
      <w:pPr>
        <w:spacing w:after="0"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Внести изменения в приказ Минюста России от 6 сентября 2024 г. </w:t>
      </w:r>
      <w:r>
        <w:rPr>
          <w:rFonts w:ascii="PT Astra Serif" w:hAnsi="PT Astra Serif"/>
          <w:sz w:val="28"/>
        </w:rPr>
        <w:br/>
        <w:t xml:space="preserve">№ 265 «Об утверждении Типового положения о территориальном органе Федеральной службы исполнения наказаний» (зарегистрирован </w:t>
      </w:r>
      <w:r>
        <w:rPr>
          <w:rFonts w:ascii="PT Astra Serif" w:hAnsi="PT Astra Serif"/>
          <w:sz w:val="28"/>
        </w:rPr>
        <w:br/>
        <w:t>Минюстом России 10 сентября 2024 г., регистрационный № 79416), согласно приложению к настоящему приказу.</w:t>
      </w:r>
    </w:p>
    <w:p w:rsidR="001F5C0C" w:rsidRDefault="001F5C0C">
      <w:pPr>
        <w:spacing w:after="0" w:line="360" w:lineRule="exact"/>
        <w:ind w:firstLine="709"/>
        <w:jc w:val="both"/>
        <w:rPr>
          <w:rFonts w:ascii="PT Astra Serif" w:hAnsi="PT Astra Serif"/>
          <w:sz w:val="28"/>
        </w:rPr>
      </w:pPr>
    </w:p>
    <w:p w:rsidR="001F5C0C" w:rsidRDefault="001F5C0C">
      <w:pPr>
        <w:spacing w:after="0" w:line="360" w:lineRule="exact"/>
        <w:ind w:firstLine="709"/>
        <w:jc w:val="both"/>
        <w:rPr>
          <w:rFonts w:ascii="PT Astra Serif" w:hAnsi="PT Astra Serif"/>
          <w:sz w:val="28"/>
        </w:rPr>
      </w:pPr>
    </w:p>
    <w:p w:rsidR="001F5C0C" w:rsidRDefault="001F5C0C">
      <w:pPr>
        <w:spacing w:after="0" w:line="360" w:lineRule="exact"/>
        <w:ind w:firstLine="709"/>
        <w:jc w:val="both"/>
        <w:rPr>
          <w:rFonts w:ascii="PT Astra Serif" w:hAnsi="PT Astra Serif"/>
          <w:sz w:val="28"/>
        </w:rPr>
      </w:pPr>
    </w:p>
    <w:p w:rsidR="001F5C0C" w:rsidRDefault="00CD32AA">
      <w:pPr>
        <w:spacing w:after="0" w:line="360" w:lineRule="exact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Министр                                                                                        К.А. Чуйченко</w:t>
      </w:r>
    </w:p>
    <w:p w:rsidR="001F5C0C" w:rsidRDefault="001F5C0C"/>
    <w:tbl>
      <w:tblPr>
        <w:tblpPr w:leftFromText="180" w:rightFromText="180" w:vertAnchor="text" w:tblpX="-53" w:tblpYSpec="top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326"/>
      </w:tblGrid>
      <w:tr w:rsidR="001F5C0C">
        <w:trPr>
          <w:trHeight w:val="360"/>
        </w:trPr>
        <w:tc>
          <w:tcPr>
            <w:tcW w:w="432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left w:w="108" w:type="dxa"/>
              <w:right w:w="108" w:type="dxa"/>
            </w:tcMar>
          </w:tcPr>
          <w:p w:rsidR="001F5C0C" w:rsidRDefault="001F5C0C">
            <w:pPr>
              <w:spacing w:after="0" w:line="240" w:lineRule="auto"/>
              <w:rPr>
                <w:rFonts w:ascii="PT Astra Serif" w:hAnsi="PT Astra Serif"/>
                <w:sz w:val="20"/>
              </w:rPr>
            </w:pPr>
          </w:p>
          <w:p w:rsidR="001F5C0C" w:rsidRDefault="001F5C0C">
            <w:pPr>
              <w:spacing w:after="0" w:line="240" w:lineRule="auto"/>
              <w:rPr>
                <w:rFonts w:ascii="PT Astra Serif" w:hAnsi="PT Astra Serif"/>
                <w:sz w:val="20"/>
              </w:rPr>
            </w:pPr>
            <w:bookmarkStart w:id="0" w:name="_GoBack"/>
            <w:bookmarkEnd w:id="0"/>
          </w:p>
        </w:tc>
      </w:tr>
    </w:tbl>
    <w:p w:rsidR="001F5C0C" w:rsidRDefault="001F5C0C">
      <w:pPr>
        <w:sectPr w:rsidR="001F5C0C">
          <w:pgSz w:w="11908" w:h="16848"/>
          <w:pgMar w:top="1417" w:right="1417" w:bottom="1701" w:left="1417" w:header="709" w:footer="709" w:gutter="0"/>
          <w:pgNumType w:start="1"/>
          <w:cols w:space="720"/>
          <w:titlePg/>
        </w:sectPr>
      </w:pPr>
    </w:p>
    <w:p w:rsidR="001F5C0C" w:rsidRDefault="00CD32AA">
      <w:pPr>
        <w:spacing w:after="0" w:line="360" w:lineRule="exact"/>
        <w:ind w:left="5386" w:right="-2"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lastRenderedPageBreak/>
        <w:t>ПРИЛОЖЕНИЕ</w:t>
      </w:r>
    </w:p>
    <w:p w:rsidR="001F5C0C" w:rsidRDefault="00CD32AA">
      <w:pPr>
        <w:spacing w:after="0" w:line="360" w:lineRule="exact"/>
        <w:ind w:left="5386" w:right="-2"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к приказу Минюста России</w:t>
      </w:r>
    </w:p>
    <w:p w:rsidR="001F5C0C" w:rsidRDefault="00CD32AA">
      <w:pPr>
        <w:spacing w:after="0" w:line="360" w:lineRule="exact"/>
        <w:ind w:left="5386" w:right="-2"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от ____________ № ______</w:t>
      </w:r>
    </w:p>
    <w:p w:rsidR="001F5C0C" w:rsidRDefault="001F5C0C">
      <w:pPr>
        <w:spacing w:after="0" w:line="360" w:lineRule="exact"/>
        <w:ind w:firstLine="709"/>
        <w:jc w:val="both"/>
        <w:rPr>
          <w:rFonts w:ascii="PT Astra Serif" w:hAnsi="PT Astra Serif"/>
          <w:sz w:val="28"/>
        </w:rPr>
      </w:pPr>
    </w:p>
    <w:p w:rsidR="001F5C0C" w:rsidRDefault="001F5C0C">
      <w:pPr>
        <w:spacing w:after="0" w:line="360" w:lineRule="exact"/>
        <w:ind w:firstLine="709"/>
        <w:jc w:val="both"/>
        <w:rPr>
          <w:rFonts w:ascii="PT Astra Serif" w:hAnsi="PT Astra Serif"/>
          <w:sz w:val="28"/>
        </w:rPr>
      </w:pPr>
    </w:p>
    <w:p w:rsidR="001F5C0C" w:rsidRDefault="001F5C0C">
      <w:pPr>
        <w:spacing w:after="0" w:line="360" w:lineRule="exact"/>
        <w:ind w:firstLine="709"/>
        <w:jc w:val="both"/>
        <w:rPr>
          <w:rFonts w:ascii="PT Astra Serif" w:hAnsi="PT Astra Serif"/>
          <w:sz w:val="28"/>
        </w:rPr>
      </w:pPr>
    </w:p>
    <w:p w:rsidR="001F5C0C" w:rsidRDefault="00CD32AA">
      <w:pPr>
        <w:spacing w:after="0" w:line="240" w:lineRule="auto"/>
        <w:jc w:val="center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 xml:space="preserve">Изменения, </w:t>
      </w:r>
    </w:p>
    <w:p w:rsidR="001F5C0C" w:rsidRDefault="00CD32AA">
      <w:pPr>
        <w:spacing w:after="0" w:line="240" w:lineRule="auto"/>
        <w:jc w:val="center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 xml:space="preserve">вносимые в приказ Минюста России от 6 сентября 2024 г. № 265 </w:t>
      </w:r>
      <w:r>
        <w:rPr>
          <w:rFonts w:ascii="PT Astra Serif" w:hAnsi="PT Astra Serif"/>
          <w:b/>
          <w:sz w:val="28"/>
        </w:rPr>
        <w:br/>
        <w:t>«Об утверждении Типового положения о территориальном органе Федеральной службы исполнения наказаний»</w:t>
      </w:r>
    </w:p>
    <w:p w:rsidR="001F5C0C" w:rsidRDefault="001F5C0C">
      <w:pPr>
        <w:spacing w:after="0" w:line="240" w:lineRule="auto"/>
        <w:jc w:val="center"/>
        <w:rPr>
          <w:rFonts w:ascii="PT Astra Serif" w:hAnsi="PT Astra Serif"/>
          <w:sz w:val="28"/>
        </w:rPr>
      </w:pPr>
    </w:p>
    <w:p w:rsidR="001F5C0C" w:rsidRDefault="00CD32AA">
      <w:pPr>
        <w:numPr>
          <w:ilvl w:val="0"/>
          <w:numId w:val="1"/>
        </w:numPr>
        <w:spacing w:after="0" w:line="360" w:lineRule="exact"/>
        <w:ind w:left="0"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В пункте 3 приказа Минюста России от 6 сентября 2024 г. </w:t>
      </w:r>
      <w:r>
        <w:rPr>
          <w:rFonts w:ascii="PT Astra Serif" w:hAnsi="PT Astra Serif"/>
          <w:sz w:val="28"/>
        </w:rPr>
        <w:br/>
        <w:t xml:space="preserve">№ 265 «Об утверждении Типового положения о территориальном органе Федеральной службы исполнения наказаний» (далее – приказ) слова </w:t>
      </w:r>
      <w:r>
        <w:rPr>
          <w:rFonts w:ascii="PT Astra Serif" w:hAnsi="PT Astra Serif"/>
          <w:sz w:val="28"/>
        </w:rPr>
        <w:br/>
        <w:t xml:space="preserve">«В.Л. Вуколова» заменить словами «В.А. </w:t>
      </w:r>
      <w:proofErr w:type="spellStart"/>
      <w:r>
        <w:rPr>
          <w:rFonts w:ascii="PT Astra Serif" w:hAnsi="PT Astra Serif"/>
          <w:sz w:val="28"/>
        </w:rPr>
        <w:t>Баланина</w:t>
      </w:r>
      <w:proofErr w:type="spellEnd"/>
      <w:r>
        <w:rPr>
          <w:rFonts w:ascii="PT Astra Serif" w:hAnsi="PT Astra Serif"/>
          <w:sz w:val="28"/>
        </w:rPr>
        <w:t>».</w:t>
      </w:r>
    </w:p>
    <w:p w:rsidR="001F5C0C" w:rsidRDefault="00CD32AA">
      <w:pPr>
        <w:spacing w:after="0"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2.</w:t>
      </w:r>
      <w:r w:rsidR="001E40A9"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 xml:space="preserve">В пункте 15 Типового положения о территориальном органе Федеральной службы исполнения наказаний, утвержденного </w:t>
      </w:r>
      <w:r>
        <w:rPr>
          <w:rFonts w:ascii="PT Astra Serif" w:hAnsi="PT Astra Serif"/>
          <w:sz w:val="28"/>
        </w:rPr>
        <w:br/>
        <w:t>приказом:</w:t>
      </w:r>
    </w:p>
    <w:p w:rsidR="001F5C0C" w:rsidRDefault="001E40A9" w:rsidP="001E40A9">
      <w:pPr>
        <w:spacing w:after="0" w:line="360" w:lineRule="exact"/>
        <w:ind w:left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а) </w:t>
      </w:r>
      <w:r w:rsidR="00CD32AA">
        <w:rPr>
          <w:rFonts w:ascii="PT Astra Serif" w:hAnsi="PT Astra Serif"/>
          <w:sz w:val="28"/>
        </w:rPr>
        <w:t>подпункт 2 дополнить абзацами следующего содержания:</w:t>
      </w:r>
    </w:p>
    <w:p w:rsidR="001F5C0C" w:rsidRDefault="00CD32AA">
      <w:pPr>
        <w:spacing w:after="0"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«на основании договоров, заключаемых с государственным</w:t>
      </w:r>
      <w:r>
        <w:rPr>
          <w:rFonts w:ascii="PT Astra Serif" w:hAnsi="PT Astra Serif"/>
          <w:sz w:val="28"/>
        </w:rPr>
        <w:br/>
        <w:t>заказчиком федеральной целевой программы «Развитие уголовно-</w:t>
      </w:r>
      <w:r>
        <w:rPr>
          <w:rFonts w:ascii="PT Astra Serif" w:hAnsi="PT Astra Serif"/>
          <w:sz w:val="28"/>
        </w:rPr>
        <w:br/>
        <w:t>исполнительной системы (2018 – 2035 годы)», утвержденной</w:t>
      </w:r>
      <w:r>
        <w:rPr>
          <w:rFonts w:ascii="PT Astra Serif" w:hAnsi="PT Astra Serif"/>
          <w:sz w:val="28"/>
        </w:rPr>
        <w:br/>
        <w:t>постановлением Правительства Российской Федерации от 6 апреля 2018 г.</w:t>
      </w:r>
      <w:r>
        <w:rPr>
          <w:rFonts w:ascii="PT Astra Serif" w:hAnsi="PT Astra Serif"/>
          <w:sz w:val="28"/>
        </w:rPr>
        <w:br/>
        <w:t>№ 420</w:t>
      </w:r>
      <w:r>
        <w:rPr>
          <w:rFonts w:ascii="PT Astra Serif" w:hAnsi="PT Astra Serif"/>
          <w:sz w:val="28"/>
          <w:vertAlign w:val="superscript"/>
        </w:rPr>
        <w:t>27(1)</w:t>
      </w:r>
      <w:r>
        <w:rPr>
          <w:rFonts w:ascii="PT Astra Serif" w:hAnsi="PT Astra Serif"/>
          <w:sz w:val="28"/>
        </w:rPr>
        <w:t>, выполнение функции по определению поставщика (</w:t>
      </w:r>
      <w:proofErr w:type="gramStart"/>
      <w:r>
        <w:rPr>
          <w:rFonts w:ascii="PT Astra Serif" w:hAnsi="PT Astra Serif"/>
          <w:sz w:val="28"/>
        </w:rPr>
        <w:t>подрядчика,</w:t>
      </w:r>
      <w:r>
        <w:rPr>
          <w:rFonts w:ascii="PT Astra Serif" w:hAnsi="PT Astra Serif"/>
          <w:sz w:val="28"/>
        </w:rPr>
        <w:br/>
        <w:t>исполнителя</w:t>
      </w:r>
      <w:proofErr w:type="gramEnd"/>
      <w:r>
        <w:rPr>
          <w:rFonts w:ascii="PT Astra Serif" w:hAnsi="PT Astra Serif"/>
          <w:sz w:val="28"/>
        </w:rPr>
        <w:t>) и заключению государственных контрактов, необходимых</w:t>
      </w:r>
      <w:r>
        <w:rPr>
          <w:rFonts w:ascii="PT Astra Serif" w:hAnsi="PT Astra Serif"/>
          <w:sz w:val="28"/>
        </w:rPr>
        <w:br/>
        <w:t>для реализации мероприятий Программы</w:t>
      </w:r>
      <w:r>
        <w:rPr>
          <w:rFonts w:ascii="PT Astra Serif" w:hAnsi="PT Astra Serif"/>
          <w:sz w:val="28"/>
          <w:vertAlign w:val="superscript"/>
        </w:rPr>
        <w:t>27(2)</w:t>
      </w:r>
      <w:r>
        <w:rPr>
          <w:rFonts w:ascii="PT Astra Serif" w:hAnsi="PT Astra Serif"/>
          <w:sz w:val="28"/>
        </w:rPr>
        <w:t>;</w:t>
      </w:r>
    </w:p>
    <w:p w:rsidR="001F5C0C" w:rsidRDefault="00CD32AA">
      <w:pPr>
        <w:spacing w:after="0" w:line="360" w:lineRule="exact"/>
        <w:ind w:firstLine="709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контроль за ходом проектирования, строительства (</w:t>
      </w:r>
      <w:proofErr w:type="gramStart"/>
      <w:r>
        <w:rPr>
          <w:rFonts w:ascii="PT Astra Serif" w:hAnsi="PT Astra Serif"/>
          <w:sz w:val="28"/>
        </w:rPr>
        <w:t>реконструкции,</w:t>
      </w:r>
      <w:r>
        <w:rPr>
          <w:rFonts w:ascii="PT Astra Serif" w:hAnsi="PT Astra Serif"/>
          <w:sz w:val="28"/>
        </w:rPr>
        <w:br/>
        <w:t>технического</w:t>
      </w:r>
      <w:proofErr w:type="gramEnd"/>
      <w:r>
        <w:rPr>
          <w:rFonts w:ascii="PT Astra Serif" w:hAnsi="PT Astra Serif"/>
          <w:sz w:val="28"/>
        </w:rPr>
        <w:t xml:space="preserve"> перевооружения) объектов капитального строительства</w:t>
      </w:r>
      <w:r>
        <w:rPr>
          <w:rFonts w:ascii="PT Astra Serif" w:hAnsi="PT Astra Serif"/>
          <w:sz w:val="28"/>
        </w:rPr>
        <w:br/>
        <w:t>государственной собственности Российской Федерации, включая</w:t>
      </w:r>
      <w:r>
        <w:rPr>
          <w:rFonts w:ascii="PT Astra Serif" w:hAnsi="PT Astra Serif"/>
          <w:sz w:val="28"/>
        </w:rPr>
        <w:br/>
      </w:r>
      <w:proofErr w:type="spellStart"/>
      <w:r>
        <w:rPr>
          <w:rFonts w:ascii="PT Astra Serif" w:hAnsi="PT Astra Serif"/>
          <w:sz w:val="28"/>
        </w:rPr>
        <w:t>предпроектную</w:t>
      </w:r>
      <w:proofErr w:type="spellEnd"/>
      <w:r>
        <w:rPr>
          <w:rFonts w:ascii="PT Astra Serif" w:hAnsi="PT Astra Serif"/>
          <w:sz w:val="28"/>
        </w:rPr>
        <w:t xml:space="preserve"> проработку и подготовку к строительству (реконструкции,</w:t>
      </w:r>
      <w:r>
        <w:rPr>
          <w:rFonts w:ascii="PT Astra Serif" w:hAnsi="PT Astra Serif"/>
          <w:sz w:val="28"/>
        </w:rPr>
        <w:br/>
        <w:t>техническому перевооружению), а также контроль за целевым</w:t>
      </w:r>
      <w:r>
        <w:rPr>
          <w:rFonts w:ascii="PT Astra Serif" w:hAnsi="PT Astra Serif"/>
          <w:sz w:val="28"/>
        </w:rPr>
        <w:br/>
        <w:t>и эффективным использованием средств федерального бюджета,</w:t>
      </w:r>
      <w:r>
        <w:rPr>
          <w:rFonts w:ascii="PT Astra Serif" w:hAnsi="PT Astra Serif"/>
          <w:sz w:val="28"/>
        </w:rPr>
        <w:br/>
        <w:t>направленных на указанные цели;»;</w:t>
      </w:r>
    </w:p>
    <w:p w:rsidR="001F5C0C" w:rsidRDefault="001E40A9">
      <w:pPr>
        <w:spacing w:after="0"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б) </w:t>
      </w:r>
      <w:r w:rsidR="00CD32AA">
        <w:rPr>
          <w:rFonts w:ascii="PT Astra Serif" w:hAnsi="PT Astra Serif"/>
          <w:sz w:val="28"/>
        </w:rPr>
        <w:t>абзац сорок второй подпункта 2 дополнить сносками 27(1) и 27(2) следующего содержания:</w:t>
      </w:r>
    </w:p>
    <w:p w:rsidR="001F5C0C" w:rsidRDefault="00CD32AA">
      <w:pPr>
        <w:spacing w:after="0" w:line="360" w:lineRule="exact"/>
        <w:ind w:firstLine="709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«</w:t>
      </w:r>
      <w:r>
        <w:rPr>
          <w:rFonts w:ascii="PT Astra Serif" w:hAnsi="PT Astra Serif"/>
          <w:sz w:val="28"/>
          <w:vertAlign w:val="superscript"/>
        </w:rPr>
        <w:t>27(1)</w:t>
      </w:r>
      <w:r>
        <w:rPr>
          <w:rFonts w:ascii="PT Astra Serif" w:hAnsi="PT Astra Serif"/>
          <w:sz w:val="28"/>
        </w:rPr>
        <w:t> Далее – Программа.</w:t>
      </w:r>
    </w:p>
    <w:p w:rsidR="001F5C0C" w:rsidRDefault="00CD32AA">
      <w:pPr>
        <w:spacing w:after="0" w:line="360" w:lineRule="exact"/>
        <w:ind w:firstLine="709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  <w:vertAlign w:val="superscript"/>
        </w:rPr>
        <w:t xml:space="preserve">27(2) </w:t>
      </w:r>
      <w:r>
        <w:rPr>
          <w:rFonts w:ascii="PT Astra Serif" w:hAnsi="PT Astra Serif"/>
          <w:sz w:val="28"/>
        </w:rPr>
        <w:t>Абзац тринадцатый раздела V Программы.»;</w:t>
      </w:r>
    </w:p>
    <w:p w:rsidR="001F5C0C" w:rsidRDefault="001F5C0C">
      <w:pPr>
        <w:spacing w:after="0" w:line="360" w:lineRule="exact"/>
        <w:ind w:firstLine="709"/>
        <w:contextualSpacing/>
        <w:jc w:val="both"/>
        <w:rPr>
          <w:rFonts w:ascii="PT Astra Serif" w:hAnsi="PT Astra Serif"/>
          <w:sz w:val="28"/>
        </w:rPr>
      </w:pPr>
    </w:p>
    <w:p w:rsidR="001F5C0C" w:rsidRDefault="00CD32AA">
      <w:pPr>
        <w:spacing w:after="0" w:line="360" w:lineRule="exact"/>
        <w:ind w:firstLine="709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lastRenderedPageBreak/>
        <w:t>в)</w:t>
      </w:r>
      <w:r w:rsidR="001E40A9"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дополнить подпунктом 5.1 следующего содержания:</w:t>
      </w:r>
    </w:p>
    <w:p w:rsidR="001F5C0C" w:rsidRDefault="00CD32AA">
      <w:pPr>
        <w:spacing w:after="0" w:line="360" w:lineRule="exact"/>
        <w:ind w:firstLine="709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«5.1) осуществляет и обеспечивает контроль за реализацией</w:t>
      </w:r>
      <w:r>
        <w:rPr>
          <w:rFonts w:ascii="PT Astra Serif" w:hAnsi="PT Astra Serif"/>
          <w:sz w:val="28"/>
        </w:rPr>
        <w:br/>
        <w:t>мероприятий Программы, координацию деятельности исполнителей</w:t>
      </w:r>
      <w:r>
        <w:rPr>
          <w:rFonts w:ascii="PT Astra Serif" w:hAnsi="PT Astra Serif"/>
          <w:sz w:val="28"/>
        </w:rPr>
        <w:br/>
        <w:t>мероприятий Программы, целевое и эффективное использование</w:t>
      </w:r>
      <w:r>
        <w:rPr>
          <w:rFonts w:ascii="PT Astra Serif" w:hAnsi="PT Astra Serif"/>
          <w:sz w:val="28"/>
        </w:rPr>
        <w:br/>
        <w:t>финансовых средств, выделяемых на реализацию мероприятий</w:t>
      </w:r>
      <w:r>
        <w:rPr>
          <w:rFonts w:ascii="PT Astra Serif" w:hAnsi="PT Astra Serif"/>
          <w:sz w:val="28"/>
        </w:rPr>
        <w:br/>
        <w:t>Программы;».</w:t>
      </w:r>
    </w:p>
    <w:sectPr w:rsidR="001F5C0C">
      <w:headerReference w:type="default" r:id="rId7"/>
      <w:pgSz w:w="11908" w:h="16848"/>
      <w:pgMar w:top="1417" w:right="1417" w:bottom="1701" w:left="1417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3011" w:rsidRDefault="00CD32AA">
      <w:pPr>
        <w:spacing w:after="0" w:line="240" w:lineRule="auto"/>
      </w:pPr>
      <w:r>
        <w:separator/>
      </w:r>
    </w:p>
  </w:endnote>
  <w:endnote w:type="continuationSeparator" w:id="0">
    <w:p w:rsidR="006B3011" w:rsidRDefault="00CD32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charset w:val="CC"/>
    <w:family w:val="roman"/>
    <w:pitch w:val="variable"/>
    <w:sig w:usb0="00000001" w:usb1="0000285A" w:usb2="00000000" w:usb3="00000000" w:csb0="00000015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3011" w:rsidRDefault="00CD32AA">
      <w:pPr>
        <w:spacing w:after="0" w:line="240" w:lineRule="auto"/>
      </w:pPr>
      <w:r>
        <w:separator/>
      </w:r>
    </w:p>
  </w:footnote>
  <w:footnote w:type="continuationSeparator" w:id="0">
    <w:p w:rsidR="006B3011" w:rsidRDefault="00CD32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5C0C" w:rsidRDefault="00CD32AA">
    <w:pPr>
      <w:pStyle w:val="a8"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 w:rsidR="00543D40">
      <w:rPr>
        <w:rFonts w:ascii="Times New Roman" w:hAnsi="Times New Roman"/>
        <w:noProof/>
        <w:sz w:val="28"/>
      </w:rPr>
      <w:t>2</w:t>
    </w:r>
    <w:r>
      <w:rPr>
        <w:rFonts w:ascii="Times New Roman" w:hAnsi="Times New Roman"/>
        <w:sz w:val="28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9685A6F"/>
    <w:multiLevelType w:val="multilevel"/>
    <w:tmpl w:val="3392F4B8"/>
    <w:lvl w:ilvl="0">
      <w:start w:val="1"/>
      <w:numFmt w:val="decimal"/>
      <w:lvlText w:val="%1."/>
      <w:lvlJc w:val="left"/>
      <w:pPr>
        <w:widowControl/>
        <w:ind w:left="720" w:hanging="360"/>
      </w:pPr>
    </w:lvl>
    <w:lvl w:ilvl="1">
      <w:start w:val="1"/>
      <w:numFmt w:val="lowerLetter"/>
      <w:lvlText w:val="%2."/>
      <w:lvlJc w:val="left"/>
      <w:pPr>
        <w:widowControl/>
        <w:ind w:left="1440" w:hanging="360"/>
      </w:pPr>
    </w:lvl>
    <w:lvl w:ilvl="2">
      <w:start w:val="1"/>
      <w:numFmt w:val="lowerRoman"/>
      <w:lvlText w:val="%3."/>
      <w:lvlJc w:val="right"/>
      <w:pPr>
        <w:widowControl/>
        <w:ind w:left="2160" w:hanging="360"/>
      </w:pPr>
    </w:lvl>
    <w:lvl w:ilvl="3">
      <w:start w:val="1"/>
      <w:numFmt w:val="decimal"/>
      <w:lvlText w:val="%4."/>
      <w:lvlJc w:val="left"/>
      <w:pPr>
        <w:widowControl/>
        <w:ind w:left="2880" w:hanging="360"/>
      </w:pPr>
    </w:lvl>
    <w:lvl w:ilvl="4">
      <w:start w:val="1"/>
      <w:numFmt w:val="lowerLetter"/>
      <w:lvlText w:val="%5."/>
      <w:lvlJc w:val="left"/>
      <w:pPr>
        <w:widowControl/>
        <w:ind w:left="3600" w:hanging="360"/>
      </w:pPr>
    </w:lvl>
    <w:lvl w:ilvl="5">
      <w:start w:val="1"/>
      <w:numFmt w:val="lowerRoman"/>
      <w:lvlText w:val="%6."/>
      <w:lvlJc w:val="right"/>
      <w:pPr>
        <w:widowControl/>
        <w:ind w:left="4320" w:hanging="360"/>
      </w:pPr>
    </w:lvl>
    <w:lvl w:ilvl="6">
      <w:start w:val="1"/>
      <w:numFmt w:val="decimal"/>
      <w:lvlText w:val="%7."/>
      <w:lvlJc w:val="left"/>
      <w:pPr>
        <w:widowControl/>
        <w:ind w:left="5040" w:hanging="360"/>
      </w:pPr>
    </w:lvl>
    <w:lvl w:ilvl="7">
      <w:start w:val="1"/>
      <w:numFmt w:val="lowerLetter"/>
      <w:lvlText w:val="%8."/>
      <w:lvlJc w:val="left"/>
      <w:pPr>
        <w:widowControl/>
        <w:ind w:left="5760" w:hanging="360"/>
      </w:pPr>
    </w:lvl>
    <w:lvl w:ilvl="8">
      <w:start w:val="1"/>
      <w:numFmt w:val="lowerRoman"/>
      <w:lvlText w:val="%9."/>
      <w:lvlJc w:val="right"/>
      <w:pPr>
        <w:widowControl/>
        <w:ind w:left="6480" w:hanging="360"/>
      </w:pPr>
    </w:lvl>
  </w:abstractNum>
  <w:abstractNum w:abstractNumId="1">
    <w:nsid w:val="62EE015D"/>
    <w:multiLevelType w:val="multilevel"/>
    <w:tmpl w:val="15A4BC42"/>
    <w:lvl w:ilvl="0">
      <w:start w:val="1"/>
      <w:numFmt w:val="russianLower"/>
      <w:lvlText w:val="%1)"/>
      <w:lvlJc w:val="left"/>
      <w:pPr>
        <w:widowControl/>
        <w:ind w:left="720" w:hanging="360"/>
      </w:pPr>
    </w:lvl>
    <w:lvl w:ilvl="1">
      <w:start w:val="1"/>
      <w:numFmt w:val="decimal"/>
      <w:lvlText w:val="%2)"/>
      <w:lvlJc w:val="left"/>
      <w:pPr>
        <w:widowControl/>
        <w:ind w:left="1440" w:hanging="360"/>
      </w:pPr>
    </w:lvl>
    <w:lvl w:ilvl="2">
      <w:start w:val="1"/>
      <w:numFmt w:val="lowerRoman"/>
      <w:lvlText w:val="%3)"/>
      <w:lvlJc w:val="right"/>
      <w:pPr>
        <w:widowControl/>
        <w:ind w:left="2160" w:hanging="360"/>
      </w:pPr>
    </w:lvl>
    <w:lvl w:ilvl="3">
      <w:start w:val="1"/>
      <w:numFmt w:val="russianLower"/>
      <w:lvlText w:val="%4)"/>
      <w:lvlJc w:val="left"/>
      <w:pPr>
        <w:widowControl/>
        <w:ind w:left="2880" w:hanging="360"/>
      </w:pPr>
    </w:lvl>
    <w:lvl w:ilvl="4">
      <w:start w:val="1"/>
      <w:numFmt w:val="decimal"/>
      <w:lvlText w:val="%5)"/>
      <w:lvlJc w:val="left"/>
      <w:pPr>
        <w:widowControl/>
        <w:ind w:left="3600" w:hanging="360"/>
      </w:pPr>
    </w:lvl>
    <w:lvl w:ilvl="5">
      <w:start w:val="1"/>
      <w:numFmt w:val="lowerRoman"/>
      <w:lvlText w:val="%6)"/>
      <w:lvlJc w:val="right"/>
      <w:pPr>
        <w:widowControl/>
        <w:ind w:left="4320" w:hanging="360"/>
      </w:pPr>
    </w:lvl>
    <w:lvl w:ilvl="6">
      <w:start w:val="1"/>
      <w:numFmt w:val="russianLower"/>
      <w:lvlText w:val="%7)"/>
      <w:lvlJc w:val="left"/>
      <w:pPr>
        <w:widowControl/>
        <w:ind w:left="5040" w:hanging="360"/>
      </w:pPr>
    </w:lvl>
    <w:lvl w:ilvl="7">
      <w:start w:val="1"/>
      <w:numFmt w:val="decimal"/>
      <w:lvlText w:val="%8)"/>
      <w:lvlJc w:val="left"/>
      <w:pPr>
        <w:widowControl/>
        <w:ind w:left="5760" w:hanging="360"/>
      </w:pPr>
    </w:lvl>
    <w:lvl w:ilvl="8">
      <w:start w:val="1"/>
      <w:numFmt w:val="lowerRoman"/>
      <w:lvlText w:val="%9)"/>
      <w:lvlJc w:val="right"/>
      <w:pPr>
        <w:widowControl/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1F5C0C"/>
    <w:rsid w:val="001E40A9"/>
    <w:rsid w:val="001F5C0C"/>
    <w:rsid w:val="00543D40"/>
    <w:rsid w:val="006B3011"/>
    <w:rsid w:val="00CD3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D8B42A-2924-417E-87C8-234F16001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a3">
    <w:name w:val="Normal (Web)"/>
    <w:basedOn w:val="a"/>
    <w:link w:val="a4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4">
    <w:name w:val="Обычный (веб) Знак"/>
    <w:basedOn w:val="1"/>
    <w:link w:val="a3"/>
    <w:rPr>
      <w:rFonts w:ascii="Times New Roman" w:hAnsi="Times New Roman"/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5">
    <w:name w:val="Balloon Text"/>
    <w:basedOn w:val="a"/>
    <w:link w:val="a6"/>
    <w:pPr>
      <w:spacing w:after="0" w:line="240" w:lineRule="auto"/>
    </w:pPr>
    <w:rPr>
      <w:rFonts w:ascii="Segoe UI" w:hAnsi="Segoe UI"/>
      <w:sz w:val="18"/>
    </w:rPr>
  </w:style>
  <w:style w:type="character" w:customStyle="1" w:styleId="a6">
    <w:name w:val="Текст выноски Знак"/>
    <w:basedOn w:val="1"/>
    <w:link w:val="a5"/>
    <w:rPr>
      <w:rFonts w:ascii="Segoe UI" w:hAnsi="Segoe UI"/>
      <w:sz w:val="1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Основной шрифт абзаца1"/>
    <w:link w:val="13"/>
  </w:style>
  <w:style w:type="character" w:customStyle="1" w:styleId="13">
    <w:name w:val="Основной шрифт абзаца1"/>
    <w:link w:val="12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4">
    <w:name w:val="Знак сноски1"/>
    <w:basedOn w:val="a"/>
    <w:link w:val="15"/>
    <w:pPr>
      <w:spacing w:after="160" w:line="264" w:lineRule="auto"/>
    </w:pPr>
    <w:rPr>
      <w:vertAlign w:val="superscript"/>
    </w:rPr>
  </w:style>
  <w:style w:type="character" w:customStyle="1" w:styleId="15">
    <w:name w:val="Знак сноски1"/>
    <w:basedOn w:val="1"/>
    <w:link w:val="14"/>
    <w:rPr>
      <w:vertAlign w:val="superscript"/>
    </w:rPr>
  </w:style>
  <w:style w:type="paragraph" w:customStyle="1" w:styleId="23">
    <w:name w:val="Основной шрифт абзаца2"/>
  </w:style>
  <w:style w:type="character" w:customStyle="1" w:styleId="50">
    <w:name w:val="Заголовок 5 Знак"/>
    <w:link w:val="5"/>
    <w:rPr>
      <w:rFonts w:ascii="XO Thames" w:hAnsi="XO Thames"/>
      <w:b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6">
    <w:name w:val="Гиперссылка1"/>
    <w:link w:val="a7"/>
    <w:rPr>
      <w:color w:val="0000FF"/>
      <w:u w:val="single"/>
    </w:rPr>
  </w:style>
  <w:style w:type="character" w:styleId="a7">
    <w:name w:val="Hyperlink"/>
    <w:link w:val="16"/>
    <w:rPr>
      <w:color w:val="0000FF"/>
      <w:u w:val="single"/>
    </w:rPr>
  </w:style>
  <w:style w:type="paragraph" w:customStyle="1" w:styleId="Footnote">
    <w:name w:val="Footnote"/>
    <w:basedOn w:val="a"/>
    <w:link w:val="Footnote0"/>
    <w:pPr>
      <w:spacing w:after="0" w:line="240" w:lineRule="auto"/>
    </w:pPr>
    <w:rPr>
      <w:rFonts w:ascii="Times New Roman" w:hAnsi="Times New Roman"/>
      <w:sz w:val="20"/>
    </w:rPr>
  </w:style>
  <w:style w:type="character" w:customStyle="1" w:styleId="Footnote0">
    <w:name w:val="Footnote"/>
    <w:basedOn w:val="1"/>
    <w:link w:val="Footnote"/>
    <w:rPr>
      <w:rFonts w:ascii="Times New Roman" w:hAnsi="Times New Roman"/>
      <w:sz w:val="20"/>
    </w:rPr>
  </w:style>
  <w:style w:type="paragraph" w:styleId="17">
    <w:name w:val="toc 1"/>
    <w:next w:val="a"/>
    <w:link w:val="18"/>
    <w:uiPriority w:val="39"/>
    <w:rPr>
      <w:rFonts w:ascii="XO Thames" w:hAnsi="XO Thames"/>
      <w:b/>
      <w:sz w:val="28"/>
    </w:rPr>
  </w:style>
  <w:style w:type="character" w:customStyle="1" w:styleId="18">
    <w:name w:val="Оглавление 1 Знак"/>
    <w:link w:val="17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a8">
    <w:name w:val="header"/>
    <w:basedOn w:val="a"/>
    <w:link w:val="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1"/>
    <w:link w:val="a8"/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19">
    <w:name w:val="Гиперссылка1"/>
    <w:link w:val="1a"/>
    <w:rPr>
      <w:color w:val="0000FF"/>
      <w:u w:val="single"/>
    </w:rPr>
  </w:style>
  <w:style w:type="character" w:customStyle="1" w:styleId="1a">
    <w:name w:val="Гиперссылка1"/>
    <w:link w:val="19"/>
    <w:rPr>
      <w:color w:val="0000FF"/>
      <w:u w:val="single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a">
    <w:name w:val="List Paragraph"/>
    <w:basedOn w:val="a"/>
    <w:link w:val="ab"/>
    <w:pPr>
      <w:ind w:left="720"/>
      <w:contextualSpacing/>
    </w:pPr>
  </w:style>
  <w:style w:type="character" w:customStyle="1" w:styleId="ab">
    <w:name w:val="Абзац списка Знак"/>
    <w:basedOn w:val="1"/>
    <w:link w:val="aa"/>
  </w:style>
  <w:style w:type="paragraph" w:customStyle="1" w:styleId="1b">
    <w:name w:val="Обычный1"/>
    <w:link w:val="1c"/>
  </w:style>
  <w:style w:type="character" w:customStyle="1" w:styleId="1c">
    <w:name w:val="Обычный1"/>
    <w:link w:val="1b"/>
  </w:style>
  <w:style w:type="paragraph" w:styleId="ac">
    <w:name w:val="Subtitle"/>
    <w:next w:val="a"/>
    <w:link w:val="ad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d">
    <w:name w:val="Подзаголовок Знак"/>
    <w:link w:val="ac"/>
    <w:rPr>
      <w:rFonts w:ascii="XO Thames" w:hAnsi="XO Thames"/>
      <w:i/>
      <w:sz w:val="24"/>
    </w:rPr>
  </w:style>
  <w:style w:type="paragraph" w:styleId="ae">
    <w:name w:val="Title"/>
    <w:next w:val="a"/>
    <w:link w:val="af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">
    <w:name w:val="Название Знак"/>
    <w:link w:val="ae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f0">
    <w:name w:val="footer"/>
    <w:basedOn w:val="a"/>
    <w:link w:val="a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1"/>
    <w:link w:val="a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439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Минюст России</Company>
  <LinksUpToDate>false</LinksUpToDate>
  <CharactersWithSpaces>2937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Кондрашова Мария Александровна</dc:creator>
  <cp:lastModifiedBy>Романов Анатолий Владимирович</cp:lastModifiedBy>
  <cp:revision>4</cp:revision>
  <dcterms:created xsi:type="dcterms:W3CDTF">2026-07-31T10:50:00Z</dcterms:created>
  <dcterms:modified xsi:type="dcterms:W3CDTF">2026-08-10T14:36:00Z</dcterms:modified>
</cp:coreProperties>
</file>