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1"/>
        <w:spacing w:after="0" w:line="240" w:lineRule="auto"/>
        <w:ind w:firstLine="0" w:left="0" w:right="3"/>
        <w:jc w:val="right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>Проект</w:t>
      </w:r>
    </w:p>
    <w:p w14:paraId="0C000000">
      <w:pPr>
        <w:widowControl w:val="1"/>
        <w:spacing w:after="0" w:line="240" w:lineRule="auto"/>
        <w:ind w:firstLine="0" w:left="0" w:right="3"/>
        <w:jc w:val="right"/>
        <w:rPr>
          <w:rFonts w:ascii="PT Astra Serif" w:hAnsi="PT Astra Serif"/>
          <w:sz w:val="30"/>
        </w:rPr>
      </w:pPr>
    </w:p>
    <w:p w14:paraId="0D000000">
      <w:pPr>
        <w:widowControl w:val="1"/>
        <w:spacing w:after="0" w:line="240" w:lineRule="auto"/>
        <w:ind w:firstLine="0" w:left="0" w:right="3"/>
        <w:jc w:val="right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 xml:space="preserve">Вносится Правительством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Российской Федерации </w:t>
      </w:r>
    </w:p>
    <w:p w14:paraId="0E000000">
      <w:pPr>
        <w:widowControl w:val="1"/>
        <w:spacing w:after="0" w:line="240" w:lineRule="auto"/>
        <w:ind/>
        <w:jc w:val="right"/>
        <w:rPr>
          <w:rFonts w:ascii="PT Astra Serif" w:hAnsi="PT Astra Serif"/>
          <w:sz w:val="30"/>
        </w:rPr>
      </w:pPr>
    </w:p>
    <w:p w14:paraId="0F000000">
      <w:pPr>
        <w:widowControl w:val="1"/>
        <w:spacing w:after="0" w:line="240" w:lineRule="auto"/>
        <w:ind/>
        <w:jc w:val="right"/>
        <w:rPr>
          <w:rFonts w:ascii="PT Astra Serif" w:hAnsi="PT Astra Serif"/>
          <w:sz w:val="30"/>
        </w:rPr>
      </w:pPr>
    </w:p>
    <w:p w14:paraId="10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0"/>
        </w:rPr>
      </w:pPr>
      <w:r>
        <w:rPr>
          <w:rFonts w:ascii="PT Astra Serif" w:hAnsi="PT Astra Serif"/>
          <w:b w:val="1"/>
          <w:sz w:val="30"/>
        </w:rPr>
        <w:t>РОССИЙСКАЯ ФЕДЕРАЦИЯ</w:t>
      </w:r>
    </w:p>
    <w:p w14:paraId="11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0"/>
        </w:rPr>
      </w:pPr>
    </w:p>
    <w:p w14:paraId="12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0"/>
        </w:rPr>
      </w:pPr>
      <w:r>
        <w:rPr>
          <w:rFonts w:ascii="PT Astra Serif" w:hAnsi="PT Astra Serif"/>
          <w:b w:val="1"/>
          <w:sz w:val="30"/>
        </w:rPr>
        <w:t>ФЕДЕРАЛЬНЫЙ ЗАКОН</w:t>
      </w:r>
    </w:p>
    <w:p w14:paraId="1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0"/>
        </w:rPr>
      </w:pPr>
    </w:p>
    <w:p w14:paraId="14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0"/>
        </w:rPr>
      </w:pPr>
      <w:r>
        <w:rPr>
          <w:rFonts w:ascii="PT Astra Serif" w:hAnsi="PT Astra Serif"/>
          <w:b w:val="1"/>
          <w:sz w:val="30"/>
        </w:rPr>
        <w:t xml:space="preserve">О внесении изменений в </w:t>
      </w:r>
      <w:r>
        <w:rPr>
          <w:rFonts w:ascii="PT Astra Serif" w:hAnsi="PT Astra Serif"/>
          <w:b w:val="1"/>
          <w:color w:val="000000"/>
          <w:sz w:val="30"/>
        </w:rPr>
        <w:t>статью 4.1</w:t>
      </w:r>
      <w:r>
        <w:rPr>
          <w:rFonts w:ascii="PT Astra Serif" w:hAnsi="PT Astra Serif"/>
          <w:color w:val="000000"/>
          <w:sz w:val="30"/>
        </w:rPr>
        <w:t xml:space="preserve"> </w:t>
      </w:r>
      <w:r>
        <w:rPr>
          <w:rFonts w:ascii="PT Astra Serif" w:hAnsi="PT Astra Serif"/>
          <w:b w:val="1"/>
          <w:sz w:val="30"/>
        </w:rPr>
        <w:t>Федерального закона</w:t>
      </w:r>
      <w:r>
        <w:rPr>
          <w:rFonts w:ascii="PT Astra Serif" w:hAnsi="PT Astra Serif"/>
          <w:b w:val="1"/>
          <w:sz w:val="30"/>
        </w:rPr>
        <w:t xml:space="preserve"> </w:t>
      </w:r>
      <w:r>
        <w:rPr>
          <w:rFonts w:ascii="PT Astra Serif" w:hAnsi="PT Astra Serif"/>
          <w:b w:val="1"/>
          <w:sz w:val="30"/>
        </w:rPr>
        <w:br/>
      </w:r>
      <w:r>
        <w:rPr>
          <w:rFonts w:ascii="PT Astra Serif" w:hAnsi="PT Astra Serif"/>
          <w:b w:val="1"/>
          <w:sz w:val="30"/>
        </w:rPr>
        <w:t xml:space="preserve">«О защите населения </w:t>
      </w:r>
      <w:r>
        <w:rPr>
          <w:rFonts w:ascii="PT Astra Serif" w:hAnsi="PT Astra Serif"/>
          <w:b w:val="1"/>
          <w:sz w:val="30"/>
        </w:rPr>
        <w:t xml:space="preserve">и территорий </w:t>
      </w:r>
      <w:r>
        <w:rPr>
          <w:rFonts w:ascii="PT Astra Serif" w:hAnsi="PT Astra Serif"/>
          <w:b w:val="1"/>
          <w:sz w:val="30"/>
        </w:rPr>
        <w:t xml:space="preserve">от чрезвычайных ситуаций природного </w:t>
      </w:r>
      <w:r>
        <w:rPr>
          <w:rFonts w:ascii="PT Astra Serif" w:hAnsi="PT Astra Serif"/>
          <w:b w:val="1"/>
          <w:sz w:val="30"/>
        </w:rPr>
        <w:t>и техногенного характера»</w:t>
      </w:r>
      <w:r>
        <w:rPr>
          <w:rFonts w:ascii="PT Astra Serif" w:hAnsi="PT Astra Serif"/>
          <w:b w:val="1"/>
          <w:sz w:val="30"/>
        </w:rPr>
        <w:br/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 xml:space="preserve">Статью 4.1 Федерального закона от 21 декабря 1994 года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№ 68-ФЗ «О защите населения и территорий от чрезвычайных ситуаций природного и техногенного характера» (Собрание законодательства Российской Федерации, 1994, № 35, ст. 3648; 2002, № 44, ст. 4294; 2004, </w:t>
      </w:r>
      <w:r>
        <w:rPr>
          <w:rFonts w:ascii="PT Astra Serif" w:hAnsi="PT Astra Serif"/>
          <w:sz w:val="30"/>
        </w:rPr>
        <w:t xml:space="preserve">№ 35, ст. 3607; 2006, № 50, ст. 5284; 2009, № 1, ст. 17; 2010, № 31, ст. 4192; </w:t>
      </w:r>
      <w:r>
        <w:rPr>
          <w:rFonts w:ascii="PT Astra Serif" w:hAnsi="PT Astra Serif"/>
          <w:sz w:val="30"/>
        </w:rPr>
        <w:t xml:space="preserve">2011, </w:t>
      </w:r>
      <w:r>
        <w:rPr>
          <w:rFonts w:ascii="PT Astra Serif" w:hAnsi="PT Astra Serif"/>
          <w:sz w:val="30"/>
        </w:rPr>
        <w:t xml:space="preserve">№ 1, ст. 24, 54, 2012, № 14, ст. 1549; 2013, № 7, ст. 610, № 27, ст. 3450, № 52, ст. 6969; 2015, № 10, ст. 1408, № 18, ст. 2622; 2016, № 1, ст. 68, № 7, ст. 919, </w:t>
      </w:r>
      <w:r>
        <w:rPr>
          <w:rFonts w:ascii="PT Astra Serif" w:hAnsi="PT Astra Serif"/>
          <w:sz w:val="30"/>
        </w:rPr>
        <w:t xml:space="preserve">№ 26, </w:t>
      </w:r>
      <w:r>
        <w:rPr>
          <w:rFonts w:ascii="PT Astra Serif" w:hAnsi="PT Astra Serif"/>
          <w:sz w:val="30"/>
        </w:rPr>
        <w:t xml:space="preserve">ст. 3887; 2018,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№ 32, ст. 5113; 2019, № 27, ст. 3524; 2020, </w:t>
      </w:r>
      <w:r>
        <w:rPr>
          <w:rFonts w:ascii="PT Astra Serif" w:hAnsi="PT Astra Serif"/>
          <w:sz w:val="30"/>
        </w:rPr>
        <w:t>№ 14, ст. 2028; 2021, № 24, ст. 4188;</w:t>
      </w:r>
      <w:r>
        <w:rPr>
          <w:rFonts w:ascii="PT Astra Serif" w:hAnsi="PT Astra Serif"/>
          <w:sz w:val="30"/>
        </w:rPr>
        <w:t xml:space="preserve"> </w:t>
      </w:r>
      <w:r>
        <w:rPr>
          <w:rFonts w:ascii="PT Astra Serif" w:hAnsi="PT Astra Serif"/>
          <w:sz w:val="30"/>
        </w:rPr>
        <w:t xml:space="preserve">2022, № 1, ст. 28, № 45, ст. 7662, 7668; 2024, № 6, ст. 768,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№ 23, ст. 306, № 33, ст. 4928) дополнить пунктами 2.6 </w:t>
      </w:r>
      <w:r>
        <w:rPr>
          <w:rFonts w:ascii="PT Astra Serif" w:hAnsi="PT Astra Serif"/>
          <w:sz w:val="30"/>
        </w:rPr>
        <w:t xml:space="preserve">и 2.7 </w:t>
      </w:r>
      <w:r>
        <w:rPr>
          <w:rFonts w:ascii="PT Astra Serif" w:hAnsi="PT Astra Serif"/>
          <w:sz w:val="30"/>
        </w:rPr>
        <w:t>следующего содержания:</w:t>
      </w:r>
    </w:p>
    <w:p w14:paraId="16000000">
      <w:pPr>
        <w:pStyle w:val="Style_2"/>
        <w:widowControl w:val="1"/>
        <w:spacing w:after="0" w:line="240" w:lineRule="auto"/>
        <w:ind w:firstLine="709"/>
        <w:jc w:val="both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>«2.6.</w:t>
      </w:r>
      <w:r>
        <w:rPr>
          <w:rFonts w:ascii="PT Astra Serif" w:hAnsi="PT Astra Serif"/>
          <w:sz w:val="30"/>
        </w:rPr>
        <w:t> </w:t>
      </w:r>
      <w:r>
        <w:rPr>
          <w:rFonts w:ascii="PT Astra Serif" w:hAnsi="PT Astra Serif"/>
          <w:sz w:val="30"/>
        </w:rPr>
        <w:t>Правительственная комиссия</w:t>
      </w:r>
      <w:r>
        <w:rPr>
          <w:rFonts w:ascii="PT Astra Serif" w:hAnsi="PT Astra Serif"/>
          <w:sz w:val="30"/>
        </w:rPr>
        <w:t xml:space="preserve"> по предупреждению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ликвидации чрезвычайных ситуаций и обеспечению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пожарной безопасности (Правительство Российской Федерации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в случае, предусмотренном подпунктом «а» пункта 2 настоящей статьи) </w:t>
      </w:r>
      <w:r>
        <w:rPr>
          <w:rFonts w:ascii="PT Astra Serif" w:hAnsi="PT Astra Serif"/>
          <w:sz w:val="30"/>
        </w:rPr>
        <w:t xml:space="preserve">при введении режима повышенной готовности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>или чрезвычайной ситуации</w:t>
      </w:r>
      <w:r>
        <w:rPr>
          <w:rFonts w:ascii="PT Astra Serif" w:hAnsi="PT Astra Serif"/>
          <w:sz w:val="30"/>
        </w:rPr>
        <w:t xml:space="preserve"> вправе принимать </w:t>
      </w:r>
      <w:r>
        <w:rPr>
          <w:rFonts w:ascii="PT Astra Serif" w:hAnsi="PT Astra Serif"/>
          <w:sz w:val="30"/>
        </w:rPr>
        <w:t>мотивированное</w:t>
      </w:r>
      <w:r>
        <w:rPr>
          <w:rFonts w:ascii="PT Astra Serif" w:hAnsi="PT Astra Serif"/>
          <w:sz w:val="30"/>
        </w:rPr>
        <w:t xml:space="preserve">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решение </w:t>
      </w:r>
      <w:r>
        <w:rPr>
          <w:rFonts w:ascii="PT Astra Serif" w:hAnsi="PT Astra Serif"/>
          <w:sz w:val="30"/>
        </w:rPr>
        <w:t>о временном неприменении отдельных обязательных требований</w:t>
      </w:r>
      <w:r>
        <w:rPr>
          <w:rFonts w:ascii="PT Astra Serif" w:hAnsi="PT Astra Serif"/>
          <w:sz w:val="30"/>
        </w:rPr>
        <w:t>, установленных</w:t>
      </w:r>
      <w:r>
        <w:rPr>
          <w:rFonts w:ascii="PT Astra Serif" w:hAnsi="PT Astra Serif"/>
          <w:sz w:val="30"/>
        </w:rPr>
        <w:t xml:space="preserve"> нормативными правовыми </w:t>
      </w:r>
      <w:r>
        <w:rPr>
          <w:rFonts w:ascii="PT Astra Serif" w:hAnsi="PT Astra Serif"/>
          <w:sz w:val="30"/>
        </w:rPr>
        <w:t>актами Российской Федерации</w:t>
      </w:r>
      <w:r>
        <w:rPr>
          <w:rFonts w:ascii="PT Astra Serif" w:hAnsi="PT Astra Serif"/>
          <w:sz w:val="30"/>
        </w:rPr>
        <w:t>,</w:t>
      </w:r>
      <w:r>
        <w:rPr>
          <w:rFonts w:ascii="PT Astra Serif" w:hAnsi="PT Astra Serif"/>
          <w:sz w:val="30"/>
        </w:rPr>
        <w:t xml:space="preserve"> </w:t>
      </w:r>
      <w:r>
        <w:rPr>
          <w:rFonts w:ascii="PT Astra Serif" w:hAnsi="PT Astra Serif"/>
          <w:sz w:val="30"/>
        </w:rPr>
        <w:t xml:space="preserve">при проведении мероприятий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по предупреждению и ликвидации чрезвычайных ситуаций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в объемах </w:t>
      </w:r>
      <w:r>
        <w:rPr>
          <w:rFonts w:ascii="PT Astra Serif" w:hAnsi="PT Astra Serif"/>
          <w:sz w:val="30"/>
        </w:rPr>
        <w:t xml:space="preserve">и сроках, необходимых </w:t>
      </w:r>
      <w:r>
        <w:rPr>
          <w:rFonts w:ascii="PT Astra Serif" w:hAnsi="PT Astra Serif"/>
          <w:sz w:val="30"/>
        </w:rPr>
        <w:t>для ликвидации чрезвычайных ситуаций,</w:t>
      </w:r>
      <w:r>
        <w:rPr>
          <w:rFonts w:ascii="PT Astra Serif" w:hAnsi="PT Astra Serif"/>
          <w:sz w:val="30"/>
        </w:rPr>
        <w:t xml:space="preserve"> </w:t>
      </w:r>
      <w:r>
        <w:rPr>
          <w:rFonts w:ascii="PT Astra Serif" w:hAnsi="PT Astra Serif"/>
          <w:sz w:val="30"/>
        </w:rPr>
        <w:t>если осуществление</w:t>
      </w:r>
      <w:r>
        <w:rPr>
          <w:rFonts w:ascii="PT Astra Serif" w:hAnsi="PT Astra Serif"/>
          <w:sz w:val="30"/>
        </w:rPr>
        <w:t xml:space="preserve"> таких мероприятий </w:t>
      </w:r>
      <w:r>
        <w:rPr>
          <w:rFonts w:ascii="PT Astra Serif" w:hAnsi="PT Astra Serif"/>
          <w:sz w:val="30"/>
        </w:rPr>
        <w:t xml:space="preserve">с соблюдением указанных требований невозможно, за исключением требований, несоблюдение которых может привести к нарушению основ конституционного строя, основных прав и свобод человека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гражданина, безопасности государства, создать угрозы жизни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здоровью человека, а также возникновения и распространения заболеваний. </w:t>
      </w:r>
    </w:p>
    <w:p w14:paraId="17000000">
      <w:pPr>
        <w:pStyle w:val="Style_2"/>
        <w:widowControl w:val="1"/>
        <w:spacing w:after="0" w:line="240" w:lineRule="auto"/>
        <w:ind w:firstLine="709"/>
        <w:jc w:val="both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 xml:space="preserve">Комиссии </w:t>
      </w:r>
      <w:r>
        <w:rPr>
          <w:rFonts w:ascii="PT Astra Serif" w:hAnsi="PT Astra Serif"/>
          <w:sz w:val="30"/>
        </w:rPr>
        <w:t xml:space="preserve">по предупреждению и ликвидации чрезвычайных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ситуаций и обеспечению пожарной безопасности </w:t>
      </w:r>
      <w:r>
        <w:rPr>
          <w:rStyle w:val="Style_2_ch"/>
          <w:rFonts w:ascii="PT Astra Serif" w:hAnsi="PT Astra Serif"/>
          <w:sz w:val="30"/>
        </w:rPr>
        <w:t xml:space="preserve">субъектов </w:t>
      </w:r>
      <w:r>
        <w:rPr>
          <w:rStyle w:val="Style_2_ch"/>
          <w:rFonts w:ascii="PT Astra Serif" w:hAnsi="PT Astra Serif"/>
          <w:sz w:val="30"/>
        </w:rPr>
        <w:br/>
      </w:r>
      <w:r>
        <w:rPr>
          <w:rStyle w:val="Style_2_ch"/>
          <w:rFonts w:ascii="PT Astra Serif" w:hAnsi="PT Astra Serif"/>
          <w:sz w:val="30"/>
        </w:rPr>
        <w:t xml:space="preserve">Российской Федерации </w:t>
      </w:r>
      <w:r>
        <w:rPr>
          <w:rFonts w:ascii="PT Astra Serif" w:hAnsi="PT Astra Serif"/>
          <w:sz w:val="30"/>
        </w:rPr>
        <w:t xml:space="preserve">при введении режима повышенной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готовности </w:t>
      </w:r>
      <w:r>
        <w:rPr>
          <w:rFonts w:ascii="PT Astra Serif" w:hAnsi="PT Astra Serif"/>
          <w:sz w:val="30"/>
        </w:rPr>
        <w:t>или чрезвычайной ситуации</w:t>
      </w:r>
      <w:r>
        <w:rPr>
          <w:rFonts w:ascii="PT Astra Serif" w:hAnsi="PT Astra Serif"/>
          <w:sz w:val="30"/>
        </w:rPr>
        <w:t xml:space="preserve"> вправе</w:t>
      </w:r>
      <w:r>
        <w:rPr>
          <w:rStyle w:val="Style_2_ch"/>
          <w:rFonts w:ascii="PT Astra Serif" w:hAnsi="PT Astra Serif"/>
          <w:sz w:val="30"/>
        </w:rPr>
        <w:t xml:space="preserve"> принимать </w:t>
      </w:r>
      <w:r>
        <w:rPr>
          <w:rStyle w:val="Style_2_ch"/>
          <w:rFonts w:ascii="PT Astra Serif" w:hAnsi="PT Astra Serif"/>
          <w:sz w:val="30"/>
        </w:rPr>
        <w:br/>
      </w:r>
      <w:r>
        <w:rPr>
          <w:rStyle w:val="Style_2_ch"/>
          <w:rFonts w:ascii="PT Astra Serif" w:hAnsi="PT Astra Serif"/>
          <w:sz w:val="30"/>
        </w:rPr>
        <w:t xml:space="preserve">мотивированное решение </w:t>
      </w:r>
      <w:r>
        <w:rPr>
          <w:rFonts w:ascii="PT Astra Serif" w:hAnsi="PT Astra Serif"/>
          <w:sz w:val="30"/>
        </w:rPr>
        <w:t xml:space="preserve">о временном неприменении отдельных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>обязательных требований</w:t>
      </w:r>
      <w:r>
        <w:rPr>
          <w:rFonts w:ascii="PT Astra Serif" w:hAnsi="PT Astra Serif"/>
          <w:sz w:val="30"/>
        </w:rPr>
        <w:t xml:space="preserve">, </w:t>
      </w:r>
      <w:r>
        <w:rPr>
          <w:rStyle w:val="Style_2_ch"/>
          <w:rFonts w:ascii="PT Astra Serif" w:hAnsi="PT Astra Serif"/>
          <w:sz w:val="30"/>
        </w:rPr>
        <w:t xml:space="preserve">установленных </w:t>
      </w:r>
      <w:r>
        <w:rPr>
          <w:rStyle w:val="Style_2_ch"/>
          <w:rFonts w:ascii="PT Astra Serif" w:hAnsi="PT Astra Serif"/>
          <w:sz w:val="30"/>
        </w:rPr>
        <w:t xml:space="preserve">нормативными правовыми </w:t>
      </w:r>
      <w:r>
        <w:rPr>
          <w:rStyle w:val="Style_2_ch"/>
          <w:rFonts w:ascii="PT Astra Serif" w:hAnsi="PT Astra Serif"/>
          <w:sz w:val="30"/>
        </w:rPr>
        <w:br/>
      </w:r>
      <w:r>
        <w:rPr>
          <w:rStyle w:val="Style_2_ch"/>
          <w:rFonts w:ascii="PT Astra Serif" w:hAnsi="PT Astra Serif"/>
          <w:sz w:val="30"/>
        </w:rPr>
        <w:t xml:space="preserve">актами субъектов </w:t>
      </w:r>
      <w:r>
        <w:rPr>
          <w:rStyle w:val="Style_2_ch"/>
          <w:rFonts w:ascii="PT Astra Serif" w:hAnsi="PT Astra Serif"/>
          <w:sz w:val="30"/>
        </w:rPr>
        <w:t xml:space="preserve">Российской Федерации, при проведении </w:t>
      </w:r>
      <w:r>
        <w:rPr>
          <w:rStyle w:val="Style_2_ch"/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мероприятий </w:t>
      </w:r>
      <w:r>
        <w:rPr>
          <w:rFonts w:ascii="PT Astra Serif" w:hAnsi="PT Astra Serif"/>
          <w:sz w:val="30"/>
        </w:rPr>
        <w:t xml:space="preserve">по предупреждению и ликвидации чрезвычайных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ситуаций </w:t>
      </w:r>
      <w:r>
        <w:rPr>
          <w:rFonts w:ascii="PT Astra Serif" w:hAnsi="PT Astra Serif"/>
          <w:sz w:val="30"/>
        </w:rPr>
        <w:t xml:space="preserve">в объемах </w:t>
      </w:r>
      <w:r>
        <w:rPr>
          <w:rFonts w:ascii="PT Astra Serif" w:hAnsi="PT Astra Serif"/>
          <w:sz w:val="30"/>
        </w:rPr>
        <w:t xml:space="preserve">и сроках, необходимых </w:t>
      </w:r>
      <w:r>
        <w:rPr>
          <w:rFonts w:ascii="PT Astra Serif" w:hAnsi="PT Astra Serif"/>
          <w:sz w:val="30"/>
        </w:rPr>
        <w:t xml:space="preserve">для ликвидации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>чрезвычайных ситуаций,</w:t>
      </w:r>
      <w:r>
        <w:rPr>
          <w:rFonts w:ascii="PT Astra Serif" w:hAnsi="PT Astra Serif"/>
          <w:sz w:val="30"/>
        </w:rPr>
        <w:t xml:space="preserve"> </w:t>
      </w:r>
      <w:r>
        <w:rPr>
          <w:rFonts w:ascii="PT Astra Serif" w:hAnsi="PT Astra Serif"/>
          <w:sz w:val="30"/>
        </w:rPr>
        <w:t>если осуществление</w:t>
      </w:r>
      <w:r>
        <w:rPr>
          <w:rFonts w:ascii="PT Astra Serif" w:hAnsi="PT Astra Serif"/>
          <w:sz w:val="30"/>
        </w:rPr>
        <w:t xml:space="preserve"> таких мероприятий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>с соблюдением указанных требований невозможно</w:t>
      </w:r>
      <w:r>
        <w:rPr>
          <w:rFonts w:ascii="PT Astra Serif" w:hAnsi="PT Astra Serif"/>
          <w:sz w:val="30"/>
        </w:rPr>
        <w:t xml:space="preserve">, за исключением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требований, несоблюдение которых может привести к нарушению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основ конституционного строя, основных прав и свобод человека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гражданина, безопасности государства, создать угрозы жизни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здоровью человека, а также возникновения и распространения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>заболеваний</w:t>
      </w:r>
      <w:r>
        <w:rPr>
          <w:rFonts w:ascii="PT Astra Serif" w:hAnsi="PT Astra Serif"/>
          <w:sz w:val="30"/>
        </w:rPr>
        <w:t xml:space="preserve">. </w:t>
      </w:r>
    </w:p>
    <w:p w14:paraId="18000000">
      <w:pPr>
        <w:pStyle w:val="Style_2"/>
        <w:widowControl w:val="1"/>
        <w:spacing w:after="0" w:line="240" w:lineRule="auto"/>
        <w:ind w:firstLine="709"/>
        <w:jc w:val="both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>2.7.</w:t>
      </w:r>
      <w:r>
        <w:rPr>
          <w:rFonts w:ascii="PT Astra Serif" w:hAnsi="PT Astra Serif"/>
          <w:spacing w:val="0"/>
          <w:sz w:val="30"/>
        </w:rPr>
        <w:t> </w:t>
      </w:r>
      <w:r>
        <w:rPr>
          <w:rFonts w:ascii="PT Astra Serif" w:hAnsi="PT Astra Serif"/>
          <w:sz w:val="30"/>
        </w:rPr>
        <w:t xml:space="preserve">Граждане, индивидуальные предприниматели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юридические лица, привлекаемые </w:t>
      </w:r>
      <w:r>
        <w:rPr>
          <w:rFonts w:ascii="PT Astra Serif" w:hAnsi="PT Astra Serif"/>
          <w:sz w:val="30"/>
        </w:rPr>
        <w:t xml:space="preserve">к мероприятиям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по предупреждению и ликвидации чрезвычайных ситуаций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их последствий, осуществляют мероприятия </w:t>
      </w:r>
      <w:r>
        <w:rPr>
          <w:rFonts w:ascii="PT Astra Serif" w:hAnsi="PT Astra Serif"/>
          <w:sz w:val="30"/>
        </w:rPr>
        <w:t xml:space="preserve">по предупреждению </w:t>
      </w:r>
      <w:r>
        <w:rPr>
          <w:rFonts w:ascii="PT Astra Serif" w:hAnsi="PT Astra Serif"/>
          <w:sz w:val="30"/>
        </w:rPr>
        <w:br/>
      </w:r>
      <w:r>
        <w:rPr>
          <w:rFonts w:ascii="PT Astra Serif" w:hAnsi="PT Astra Serif"/>
          <w:sz w:val="30"/>
        </w:rPr>
        <w:t xml:space="preserve">и ликвидации чрезвычайных ситуаций </w:t>
      </w:r>
      <w:r>
        <w:rPr>
          <w:rFonts w:ascii="PT Astra Serif" w:hAnsi="PT Astra Serif"/>
          <w:sz w:val="30"/>
        </w:rPr>
        <w:t xml:space="preserve">без соблюдения обязательных </w:t>
      </w:r>
      <w:r>
        <w:rPr>
          <w:rFonts w:ascii="PT Astra Serif" w:hAnsi="PT Astra Serif"/>
          <w:sz w:val="30"/>
        </w:rPr>
        <w:t>требований</w:t>
      </w:r>
      <w:r>
        <w:rPr>
          <w:rFonts w:ascii="PT Astra Serif" w:hAnsi="PT Astra Serif"/>
          <w:sz w:val="30"/>
        </w:rPr>
        <w:t xml:space="preserve"> на основании решений, указанных в пункте 2.6 настоящей статьи</w:t>
      </w:r>
      <w:r>
        <w:rPr>
          <w:rFonts w:ascii="PT Astra Serif" w:hAnsi="PT Astra Serif"/>
          <w:sz w:val="30"/>
        </w:rPr>
        <w:t>.»</w:t>
      </w:r>
    </w:p>
    <w:p w14:paraId="19000000">
      <w:pPr>
        <w:widowControl w:val="1"/>
        <w:spacing w:after="0" w:line="240" w:lineRule="auto"/>
        <w:ind w:firstLine="709"/>
        <w:contextualSpacing w:val="1"/>
        <w:jc w:val="both"/>
        <w:rPr>
          <w:rFonts w:ascii="PT Astra Serif" w:hAnsi="PT Astra Serif"/>
          <w:sz w:val="30"/>
        </w:rPr>
      </w:pPr>
    </w:p>
    <w:p w14:paraId="1A000000">
      <w:pPr>
        <w:widowControl w:val="1"/>
        <w:spacing w:after="0" w:line="240" w:lineRule="auto"/>
        <w:ind w:firstLine="709"/>
        <w:contextualSpacing w:val="1"/>
        <w:jc w:val="both"/>
      </w:pPr>
    </w:p>
    <w:p w14:paraId="1B000000">
      <w:pPr>
        <w:widowControl w:val="1"/>
        <w:spacing w:after="0" w:line="240" w:lineRule="auto"/>
        <w:ind w:firstLine="709"/>
        <w:contextualSpacing w:val="1"/>
        <w:jc w:val="left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>Президент</w:t>
      </w:r>
    </w:p>
    <w:p w14:paraId="1C000000">
      <w:pPr>
        <w:widowControl w:val="1"/>
        <w:spacing w:after="0" w:line="240" w:lineRule="auto"/>
        <w:ind/>
        <w:contextualSpacing w:val="1"/>
        <w:rPr>
          <w:rFonts w:ascii="PT Astra Serif" w:hAnsi="PT Astra Serif"/>
          <w:sz w:val="30"/>
        </w:rPr>
      </w:pPr>
      <w:r>
        <w:rPr>
          <w:rFonts w:ascii="PT Astra Serif" w:hAnsi="PT Astra Serif"/>
          <w:sz w:val="30"/>
        </w:rPr>
        <w:t xml:space="preserve">Российской Федерации                                                                  </w:t>
      </w:r>
      <w:r>
        <w:rPr>
          <w:rFonts w:ascii="PT Astra Serif" w:hAnsi="PT Astra Serif"/>
          <w:sz w:val="30"/>
        </w:rPr>
        <w:t>В.Путин</w:t>
      </w:r>
    </w:p>
    <w:sectPr>
      <w:headerReference r:id="rId2" w:type="default"/>
      <w:pgSz w:h="16848" w:orient="portrait" w:w="11908"/>
      <w:pgMar w:bottom="1701" w:footer="510" w:gutter="0" w:header="709" w:left="1417" w:right="1417" w:top="1417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8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A000000">
    <w:pPr>
      <w:pStyle w:val="Style_1"/>
      <w:widowControl w:val="1"/>
      <w:ind/>
      <w:jc w:val="center"/>
      <w:rPr>
        <w:rFonts w:ascii="PT Astra Serif" w:hAnsi="PT Astra Serif"/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Основной шрифт абзаца1"/>
    <w:link w:val="Style_4_ch"/>
  </w:style>
  <w:style w:styleId="Style_4_ch" w:type="character">
    <w:name w:val="Основной шрифт абзаца1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er"/>
    <w:basedOn w:val="Style_2"/>
    <w:link w:val="Style_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footer"/>
    <w:basedOn w:val="Style_2_ch"/>
    <w:link w:val="Style_8"/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сновной текст + Полужирный"/>
    <w:basedOn w:val="Style_4"/>
    <w:link w:val="Style_11_ch"/>
    <w:rPr>
      <w:rFonts w:ascii="Times New Roman" w:hAnsi="Times New Roman"/>
      <w:b w:val="1"/>
      <w:sz w:val="26"/>
      <w:highlight w:val="white"/>
      <w:u w:val="single"/>
    </w:rPr>
  </w:style>
  <w:style w:styleId="Style_11_ch" w:type="character">
    <w:name w:val="Основной текст + Полужирный"/>
    <w:basedOn w:val="Style_4_ch"/>
    <w:link w:val="Style_11"/>
    <w:rPr>
      <w:rFonts w:ascii="Times New Roman" w:hAnsi="Times New Roman"/>
      <w:b w:val="1"/>
      <w:sz w:val="26"/>
      <w:highlight w:val="white"/>
      <w:u w:val="single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Balloon Text"/>
    <w:basedOn w:val="Style_2"/>
    <w:link w:val="Style_1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3_ch" w:type="character">
    <w:name w:val="Balloon Text"/>
    <w:basedOn w:val="Style_2_ch"/>
    <w:link w:val="Style_13"/>
    <w:rPr>
      <w:rFonts w:ascii="Tahoma" w:hAnsi="Tahoma"/>
      <w:sz w:val="16"/>
    </w:rPr>
  </w:style>
  <w:style w:styleId="Style_14" w:type="paragraph">
    <w:name w:val="toc 3"/>
    <w:next w:val="Style_2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19" w:type="paragraph">
    <w:name w:val="heading 1"/>
    <w:next w:val="Style_2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2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widowControl w:val="1"/>
      <w:ind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oc 8"/>
    <w:next w:val="Style_2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List Paragraph"/>
    <w:basedOn w:val="Style_2"/>
    <w:link w:val="Style_28_ch"/>
    <w:pPr>
      <w:widowControl w:val="1"/>
      <w:ind w:left="720"/>
      <w:contextualSpacing w:val="1"/>
    </w:pPr>
  </w:style>
  <w:style w:styleId="Style_28_ch" w:type="character">
    <w:name w:val="List Paragraph"/>
    <w:basedOn w:val="Style_2_ch"/>
    <w:link w:val="Style_28"/>
  </w:style>
  <w:style w:styleId="Style_29" w:type="paragraph">
    <w:name w:val="Номер страницы1"/>
    <w:basedOn w:val="Style_4"/>
    <w:link w:val="Style_29_ch"/>
  </w:style>
  <w:style w:styleId="Style_29_ch" w:type="character">
    <w:name w:val="Номер страницы1"/>
    <w:basedOn w:val="Style_4_ch"/>
    <w:link w:val="Style_29"/>
  </w:style>
  <w:style w:styleId="Style_30" w:type="paragraph">
    <w:name w:val="toc 5"/>
    <w:next w:val="Style_2"/>
    <w:link w:val="Style_30_ch"/>
    <w:uiPriority w:val="39"/>
    <w:pPr>
      <w:widowControl w:val="1"/>
      <w:ind w:left="800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2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6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2026-08-11T16:29:26Z</dcterms:created>
  <dcterms:modified xsi:type="dcterms:W3CDTF">2026-08-11T16:29:26Z</dcterms:modified>
</cp:coreProperties>
</file>