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-145"/>
        <w:jc w:val="right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color w:val="000000"/>
          <w:sz w:val="28"/>
          <w:szCs w:val="28"/>
        </w:rPr>
        <w:t xml:space="preserve">         Проект</w:t>
      </w:r>
      <w:r/>
    </w:p>
    <w:p>
      <w:pPr>
        <w:jc w:val="center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/>
      <w:r/>
    </w:p>
    <w:p>
      <w:pPr>
        <w:jc w:val="center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/>
      <w:r/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/>
      <w:r/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/>
      <w:r/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/>
      <w:r/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/>
      <w:r/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/>
      <w:r/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/>
      <w:r/>
    </w:p>
    <w:p>
      <w:pPr>
        <w:jc w:val="center"/>
        <w:spacing w:line="300" w:lineRule="auto"/>
        <w:widowControl w:val="off"/>
        <w:rPr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jc w:val="center"/>
        <w:spacing w:after="480"/>
        <w:widowControl w:val="off"/>
        <w:rPr>
          <w:b/>
          <w:bCs/>
          <w:color w:val="000000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bCs/>
          <w:color w:val="000000"/>
          <w:sz w:val="32"/>
          <w:szCs w:val="32"/>
        </w:rPr>
        <w:t xml:space="preserve">ПРАВИТЕЛЬСТВО РОССИЙСКОЙ ФЕДЕРАЦИИ</w:t>
      </w:r>
      <w:r>
        <w:rPr>
          <w:b/>
          <w:bCs/>
          <w:color w:val="000000"/>
          <w:sz w:val="32"/>
          <w:szCs w:val="32"/>
        </w:rPr>
      </w:r>
    </w:p>
    <w:p>
      <w:pPr>
        <w:jc w:val="center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/>
          <w:bCs/>
          <w:color w:val="000000"/>
          <w:sz w:val="28"/>
          <w:szCs w:val="28"/>
        </w:rPr>
        <w:t xml:space="preserve">ПОСТАНОВЛЕНИЕ</w:t>
      </w:r>
      <w:r/>
    </w:p>
    <w:p>
      <w:pPr>
        <w:jc w:val="center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color w:val="000000"/>
          <w:sz w:val="28"/>
          <w:szCs w:val="28"/>
        </w:rPr>
        <w:t xml:space="preserve"> </w:t>
      </w:r>
      <w:r/>
    </w:p>
    <w:p>
      <w:pPr>
        <w:jc w:val="center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color w:val="000000"/>
          <w:sz w:val="28"/>
          <w:szCs w:val="28"/>
        </w:rPr>
        <w:t xml:space="preserve">от ________________________ г. № _____</w:t>
      </w:r>
      <w:r/>
    </w:p>
    <w:p>
      <w:pPr>
        <w:jc w:val="center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color w:val="000000"/>
          <w:sz w:val="26"/>
          <w:szCs w:val="26"/>
        </w:rPr>
        <w:t xml:space="preserve"> </w:t>
      </w:r>
      <w:r/>
    </w:p>
    <w:p>
      <w:pPr>
        <w:jc w:val="center"/>
        <w:spacing w:after="48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color w:val="000000"/>
          <w:sz w:val="28"/>
          <w:szCs w:val="28"/>
        </w:rPr>
        <w:t xml:space="preserve">МОСКВА</w:t>
      </w:r>
      <w:r/>
    </w:p>
    <w:p>
      <w:pPr>
        <w:jc w:val="center"/>
        <w:rPr>
          <w:b/>
          <w:bCs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/>
      <w:bookmarkStart w:id="0" w:name="_adxpp1756qa9"/>
      <w:r/>
      <w:bookmarkEnd w:id="0"/>
      <w:r>
        <w:rPr>
          <w:b/>
          <w:bCs/>
          <w:sz w:val="28"/>
          <w:szCs w:val="28"/>
        </w:rPr>
        <w:t xml:space="preserve">О проведении на территории Российской Федерации </w:t>
      </w:r>
      <w:r/>
    </w:p>
    <w:p>
      <w:pPr>
        <w:jc w:val="center"/>
        <w:rPr>
          <w:b/>
          <w:bCs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/>
          <w:bCs/>
          <w:sz w:val="28"/>
          <w:szCs w:val="28"/>
        </w:rPr>
        <w:t xml:space="preserve">эксперимента </w:t>
      </w:r>
      <w:bookmarkStart w:id="1" w:name="_GoBack"/>
      <w:r/>
      <w:bookmarkEnd w:id="1"/>
      <w:r>
        <w:rPr>
          <w:b/>
          <w:bCs/>
          <w:sz w:val="28"/>
          <w:szCs w:val="28"/>
        </w:rPr>
        <w:t xml:space="preserve">по маркировке средствами идентификации </w:t>
      </w:r>
      <w:r/>
    </w:p>
    <w:p>
      <w:pPr>
        <w:jc w:val="center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/>
          <w:bCs/>
          <w:sz w:val="28"/>
          <w:szCs w:val="28"/>
        </w:rPr>
        <w:t xml:space="preserve">отдельных видов радиоэлектронной продукции</w:t>
      </w:r>
      <w:r/>
      <w:r/>
    </w:p>
    <w:p>
      <w:pPr>
        <w:jc w:val="center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/>
      <w:r/>
    </w:p>
    <w:p>
      <w:pPr>
        <w:ind w:firstLine="720"/>
        <w:jc w:val="both"/>
        <w:spacing w:line="312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Правительство Российской Федерации </w:t>
      </w:r>
      <w:r>
        <w:rPr>
          <w:b/>
          <w:bCs/>
          <w:sz w:val="28"/>
          <w:szCs w:val="28"/>
        </w:rPr>
        <w:t xml:space="preserve">п о с т а н о в л я е т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</w:p>
    <w:p>
      <w:pPr>
        <w:ind w:firstLine="720"/>
        <w:jc w:val="both"/>
        <w:spacing w:line="312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1. Провести с 1 декабря 2026 г. по 31 мая 2028 г. на территории Российской Федерации эксперимент по маркировке средствами идентификации отдельных видов радиоэлектронной продукции (далее – эксперимент).</w:t>
      </w:r>
      <w:r>
        <w:rPr>
          <w:sz w:val="28"/>
          <w:szCs w:val="28"/>
        </w:rPr>
      </w:r>
    </w:p>
    <w:p>
      <w:pPr>
        <w:ind w:firstLine="720"/>
        <w:jc w:val="both"/>
        <w:spacing w:line="312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2. Утвердить прилагаемые:</w:t>
      </w:r>
      <w:r>
        <w:rPr>
          <w:sz w:val="28"/>
          <w:szCs w:val="28"/>
        </w:rPr>
      </w:r>
    </w:p>
    <w:p>
      <w:pPr>
        <w:ind w:firstLine="720"/>
        <w:jc w:val="both"/>
        <w:spacing w:line="312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Положение о проведении на территории Российской Федерации эксперимента по маркировке средствами идентификации отдельных видов радиоэлектронной продукции;</w:t>
      </w:r>
      <w:r>
        <w:rPr>
          <w:sz w:val="28"/>
          <w:szCs w:val="28"/>
        </w:rPr>
      </w:r>
    </w:p>
    <w:p>
      <w:pPr>
        <w:ind w:firstLine="720"/>
        <w:jc w:val="both"/>
        <w:spacing w:line="312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перечень отдельных видов радиоэлектронной продукции, подлежащих маркировке средствами идентификации в рамках эксперимента по маркировке средствами идентификации отдельных видов радиоэлектронной продукции.</w:t>
      </w:r>
      <w:r>
        <w:rPr>
          <w:sz w:val="28"/>
          <w:szCs w:val="28"/>
        </w:rPr>
      </w:r>
    </w:p>
    <w:p>
      <w:pPr>
        <w:ind w:firstLine="720"/>
        <w:jc w:val="both"/>
        <w:spacing w:line="312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3. Установить, что:</w:t>
      </w:r>
      <w:r>
        <w:rPr>
          <w:sz w:val="28"/>
          <w:szCs w:val="28"/>
        </w:rPr>
      </w:r>
    </w:p>
    <w:p>
      <w:pPr>
        <w:ind w:firstLine="720"/>
        <w:jc w:val="both"/>
        <w:spacing w:line="312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а) эксперимент проводится в соответствии с этапами, предусмотренными перечнем, утвержденным настоящим постановлением;</w:t>
      </w:r>
      <w:r>
        <w:rPr>
          <w:sz w:val="28"/>
          <w:szCs w:val="28"/>
        </w:rPr>
      </w:r>
    </w:p>
    <w:p>
      <w:pPr>
        <w:ind w:firstLine="720"/>
        <w:jc w:val="both"/>
        <w:spacing w:line="312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б) федеральными органами исполнительной власти, уполномоченными на обеспечение проведения эксперимента, являются Министерство промышленности и торговли Российской Федерации, </w:t>
      </w:r>
      <w:r>
        <w:rPr>
          <w:sz w:val="28"/>
          <w:szCs w:val="28"/>
        </w:rPr>
        <w:t xml:space="preserve">Министерство цифрового развития, связи и массовых коммун</w:t>
      </w:r>
      <w:r>
        <w:rPr>
          <w:sz w:val="28"/>
          <w:szCs w:val="28"/>
        </w:rPr>
        <w:t xml:space="preserve">икаций Российской Федерации, Министерство экономического развития Российской Федерации, Федеральная налоговая служба, Федеральная таможенная служба, Федеральная служба по надзору в сфере защиты прав потребителей и благополучия человека, Федеральная служба </w:t>
      </w:r>
      <w:r>
        <w:rPr>
          <w:sz w:val="28"/>
          <w:szCs w:val="28"/>
        </w:rPr>
        <w:br/>
        <w:t xml:space="preserve">по аккредитации и Федеральная служба безопасности Российской Федерации (далее – уполномоченные органы).</w:t>
      </w:r>
      <w:r>
        <w:rPr>
          <w:sz w:val="28"/>
          <w:szCs w:val="28"/>
        </w:rPr>
      </w:r>
    </w:p>
    <w:p>
      <w:pPr>
        <w:ind w:firstLine="720"/>
        <w:jc w:val="both"/>
        <w:spacing w:line="312" w:lineRule="auto"/>
        <w:widowControl w:val="off"/>
        <w:rPr>
          <w:sz w:val="28"/>
          <w:szCs w:val="28"/>
        </w:rPr>
      </w:pPr>
      <w:r/>
      <w:bookmarkStart w:id="2" w:name="_7bvnhpyjwge"/>
      <w:r/>
      <w:bookmarkEnd w:id="2"/>
      <w:r>
        <w:rPr>
          <w:sz w:val="28"/>
          <w:szCs w:val="28"/>
        </w:rPr>
        <w:t xml:space="preserve">4. Согласиться с предложением оператора государственной информационной системы мониторинга за оборотом товаров, подлежащих обязательной маркировке средствами идентификации (далее – информационная система мониторинга), об участии в эксперименте </w:t>
      </w:r>
      <w:r>
        <w:rPr>
          <w:sz w:val="28"/>
          <w:szCs w:val="28"/>
        </w:rPr>
        <w:br/>
        <w:t xml:space="preserve">на безвозмездной основе.</w:t>
      </w:r>
      <w:r>
        <w:rPr>
          <w:sz w:val="28"/>
          <w:szCs w:val="28"/>
        </w:rPr>
      </w:r>
    </w:p>
    <w:p>
      <w:pPr>
        <w:ind w:firstLine="720"/>
        <w:jc w:val="both"/>
        <w:spacing w:line="312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5. Министерству промышленности и торговли Российской Федерации обеспечить:</w:t>
      </w:r>
      <w:r>
        <w:rPr>
          <w:sz w:val="28"/>
          <w:szCs w:val="28"/>
        </w:rPr>
      </w:r>
    </w:p>
    <w:p>
      <w:pPr>
        <w:ind w:firstLine="720"/>
        <w:jc w:val="both"/>
        <w:spacing w:line="312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а) разработку и утверждение по согласованию с уполномоченными органами методических рекомендаций по проведению эксперимента</w:t>
      </w:r>
      <w:r>
        <w:rPr>
          <w:sz w:val="28"/>
          <w:szCs w:val="28"/>
        </w:rPr>
        <w:br/>
        <w:t xml:space="preserve">и плана-графика проведения эксперимента:</w:t>
      </w:r>
      <w:r>
        <w:rPr>
          <w:sz w:val="28"/>
          <w:szCs w:val="28"/>
        </w:rPr>
      </w:r>
    </w:p>
    <w:p>
      <w:pPr>
        <w:ind w:firstLine="720"/>
        <w:jc w:val="both"/>
        <w:spacing w:line="312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до 1 февраля 2027 г. – в отношении I и II этапов эксперимента;</w:t>
      </w:r>
      <w:r>
        <w:rPr>
          <w:sz w:val="28"/>
          <w:szCs w:val="28"/>
        </w:rPr>
      </w:r>
    </w:p>
    <w:p>
      <w:pPr>
        <w:ind w:firstLine="720"/>
        <w:jc w:val="both"/>
        <w:spacing w:line="312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до 15 февраля 2027 г. – в отношении III – V этапов эксперимента;</w:t>
      </w:r>
      <w:r>
        <w:rPr>
          <w:sz w:val="28"/>
          <w:szCs w:val="28"/>
        </w:rPr>
      </w:r>
    </w:p>
    <w:p>
      <w:pPr>
        <w:ind w:firstLine="720"/>
        <w:jc w:val="both"/>
        <w:spacing w:line="312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б) совместно с уполномоченными органами проведение оценки результатов каждого из этапов эксперимента и представление соответствующих докладов в Правительство Российской Федерации:</w:t>
      </w:r>
      <w:r>
        <w:rPr>
          <w:sz w:val="28"/>
          <w:szCs w:val="28"/>
        </w:rPr>
      </w:r>
    </w:p>
    <w:p>
      <w:pPr>
        <w:ind w:firstLine="720"/>
        <w:jc w:val="both"/>
        <w:spacing w:line="312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до 1 сентября 2027 г. – в отношении I этапа эксперимента;</w:t>
      </w:r>
      <w:r>
        <w:rPr>
          <w:sz w:val="28"/>
          <w:szCs w:val="28"/>
        </w:rPr>
      </w:r>
    </w:p>
    <w:p>
      <w:pPr>
        <w:ind w:firstLine="720"/>
        <w:jc w:val="both"/>
        <w:spacing w:line="312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до 1 ноября 2027 г. – в отношении II и III этапа эксперимента;</w:t>
      </w:r>
      <w:r>
        <w:rPr>
          <w:sz w:val="28"/>
          <w:szCs w:val="28"/>
        </w:rPr>
      </w:r>
    </w:p>
    <w:p>
      <w:pPr>
        <w:ind w:firstLine="720"/>
        <w:jc w:val="both"/>
        <w:spacing w:line="312" w:lineRule="auto"/>
        <w:widowControl w:val="off"/>
        <w:rPr>
          <w:sz w:val="28"/>
          <w:szCs w:val="28"/>
        </w:rPr>
      </w:pPr>
      <w:r/>
      <w:bookmarkStart w:id="3" w:name="_je68m0hllp6k"/>
      <w:r/>
      <w:bookmarkEnd w:id="3"/>
      <w:r>
        <w:rPr>
          <w:sz w:val="28"/>
          <w:szCs w:val="28"/>
        </w:rPr>
        <w:t xml:space="preserve">до 1 января 2028 г. – в отношении IV этапа эксперимента;</w:t>
      </w:r>
      <w:r>
        <w:rPr>
          <w:sz w:val="28"/>
          <w:szCs w:val="28"/>
        </w:rPr>
      </w:r>
    </w:p>
    <w:p>
      <w:pPr>
        <w:ind w:firstLine="720"/>
        <w:jc w:val="both"/>
        <w:spacing w:line="312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до 1 мая 2028 г. – в отношении V этапа эксперимента.</w:t>
      </w:r>
      <w:r>
        <w:rPr>
          <w:sz w:val="28"/>
          <w:szCs w:val="28"/>
        </w:rPr>
      </w:r>
    </w:p>
    <w:p>
      <w:pPr>
        <w:ind w:firstLine="720"/>
        <w:jc w:val="both"/>
        <w:spacing w:line="312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6. М</w:t>
      </w:r>
      <w:r>
        <w:rPr>
          <w:sz w:val="28"/>
          <w:szCs w:val="28"/>
        </w:rPr>
        <w:t xml:space="preserve">инистерству промышленности и торговли Российской Федерации обеспечивать координацию и мониторинг работы участников оборота товаров (производители, импортеры, организации оптовой и розничной торговли отдельных видов радиоэлектронной продукции), участвующих </w:t>
      </w:r>
      <w:r>
        <w:rPr>
          <w:sz w:val="28"/>
          <w:szCs w:val="28"/>
        </w:rPr>
        <w:br/>
        <w:t xml:space="preserve">в эксперименте.</w:t>
      </w:r>
      <w:r>
        <w:rPr>
          <w:sz w:val="28"/>
          <w:szCs w:val="28"/>
        </w:rPr>
      </w:r>
    </w:p>
    <w:p>
      <w:pPr>
        <w:ind w:firstLine="720"/>
        <w:jc w:val="both"/>
        <w:spacing w:line="312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7. Министерству промышленности и торговли Российской Федерации, Федеральной налоговой службе, Федеральной таможенной службе, Федеральной службе по аккредитации и Федеральной службе </w:t>
      </w:r>
      <w:r>
        <w:rPr>
          <w:sz w:val="28"/>
          <w:szCs w:val="28"/>
        </w:rPr>
        <w:br/>
        <w:t xml:space="preserve">по надзору в сфере защиты прав потребителей и благополучия человека при </w:t>
      </w:r>
      <w:r>
        <w:rPr>
          <w:sz w:val="28"/>
          <w:szCs w:val="28"/>
        </w:rPr>
        <w:t xml:space="preserve">осуществлении полномочий в установленных сферах ведения обеспечивать информационное взаимодействие своих информационных систем </w:t>
      </w:r>
      <w:r>
        <w:rPr>
          <w:sz w:val="28"/>
          <w:szCs w:val="28"/>
        </w:rPr>
        <w:br/>
        <w:t xml:space="preserve">с информационной системой мониторинга с использованием ранее размещенной в них информации, а также учет сведений, переданных участниками оборота товаров, участвующими в эксперименте,</w:t>
      </w:r>
      <w:r>
        <w:rPr>
          <w:sz w:val="28"/>
          <w:szCs w:val="28"/>
        </w:rPr>
        <w:br/>
        <w:t xml:space="preserve">в информационную систему мониторинга, в том числе в части учета сведений, содержащихся в подсистеме национального каталога маркированных товаров информационной системы мониторинга.</w:t>
      </w:r>
      <w:r>
        <w:rPr>
          <w:sz w:val="28"/>
          <w:szCs w:val="28"/>
        </w:rPr>
      </w:r>
    </w:p>
    <w:p>
      <w:pPr>
        <w:ind w:firstLine="720"/>
        <w:jc w:val="both"/>
        <w:spacing w:line="312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8. Реализация уполномоченными органами</w:t>
      </w:r>
      <w:r>
        <w:rPr>
          <w:sz w:val="28"/>
          <w:szCs w:val="28"/>
        </w:rPr>
        <w:t xml:space="preserve"> мероприятий, предусмотренных настоящим постановлением, осуществляется в пределах установленной предельной численности работников уполномоченных органов и бюджетных ассигнований, предусмотренных им на руководство и управление в сфере установленных функций.</w:t>
      </w:r>
      <w:r>
        <w:rPr>
          <w:sz w:val="28"/>
          <w:szCs w:val="28"/>
        </w:rPr>
      </w:r>
    </w:p>
    <w:p>
      <w:pPr>
        <w:spacing w:line="312" w:lineRule="auto"/>
        <w:tabs>
          <w:tab w:val="left" w:pos="1117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Председатель Правительства</w:t>
      </w:r>
      <w:r>
        <w:rPr>
          <w:sz w:val="28"/>
          <w:szCs w:val="28"/>
        </w:rPr>
      </w:r>
    </w:p>
    <w:p>
      <w:pPr>
        <w:widowControl w:val="off"/>
        <w:tabs>
          <w:tab w:val="right" w:pos="1020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Российской Федерации                                                        М. Мишустин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widowControl w:val="off"/>
        <w:rPr>
          <w:sz w:val="28"/>
          <w:szCs w:val="28"/>
        </w:rPr>
        <w:sectPr>
          <w:headerReference w:type="default" r:id="rId8"/>
          <w:headerReference w:type="even" r:id="rId9"/>
          <w:headerReference w:type="first" r:id="rId10"/>
          <w:footerReference w:type="default" r:id="rId13"/>
          <w:footerReference w:type="even" r:id="rId14"/>
          <w:footerReference w:type="first" r:id="rId15"/>
          <w:footnotePr/>
          <w:endnotePr/>
          <w:type w:val="nextPage"/>
          <w:pgSz w:w="11906" w:h="16838" w:orient="portrait"/>
          <w:pgMar w:top="1134" w:right="1417" w:bottom="1134" w:left="1417" w:header="425" w:footer="720" w:gutter="0"/>
          <w:pgNumType w:start="1"/>
          <w:cols w:num="1" w:sep="0" w:space="720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Утверждено</w:t>
      </w:r>
      <w:r>
        <w:rPr>
          <w:sz w:val="28"/>
          <w:szCs w:val="28"/>
        </w:rPr>
      </w:r>
    </w:p>
    <w:p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Правительства</w:t>
      </w:r>
      <w:r>
        <w:rPr>
          <w:sz w:val="28"/>
          <w:szCs w:val="28"/>
        </w:rPr>
      </w:r>
    </w:p>
    <w:p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Российской Федерации</w:t>
      </w:r>
      <w:r>
        <w:rPr>
          <w:sz w:val="28"/>
          <w:szCs w:val="28"/>
        </w:rPr>
      </w:r>
    </w:p>
    <w:p>
      <w:pPr>
        <w:ind w:left="5245" w:right="85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                 №</w:t>
      </w:r>
      <w:r>
        <w:rPr>
          <w:sz w:val="28"/>
          <w:szCs w:val="28"/>
        </w:rPr>
      </w:r>
    </w:p>
    <w:p>
      <w:pPr>
        <w:ind w:firstLine="709"/>
        <w:jc w:val="both"/>
        <w:tabs>
          <w:tab w:val="left" w:pos="567" w:leader="none"/>
        </w:tabs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/>
      <w:r/>
    </w:p>
    <w:p>
      <w:pPr>
        <w:ind w:firstLine="709"/>
        <w:jc w:val="both"/>
        <w:tabs>
          <w:tab w:val="left" w:pos="567" w:leader="none"/>
        </w:tabs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/>
      <w:r/>
    </w:p>
    <w:p>
      <w:pPr>
        <w:ind w:firstLine="709"/>
        <w:jc w:val="both"/>
        <w:tabs>
          <w:tab w:val="left" w:pos="567" w:leader="none"/>
        </w:tabs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/>
      <w:r/>
    </w:p>
    <w:p>
      <w:pPr>
        <w:ind w:firstLine="709"/>
        <w:jc w:val="both"/>
        <w:tabs>
          <w:tab w:val="left" w:pos="567" w:leader="none"/>
        </w:tabs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/>
      <w:r/>
    </w:p>
    <w:p>
      <w:pPr>
        <w:jc w:val="center"/>
        <w:tabs>
          <w:tab w:val="left" w:pos="567" w:leader="none"/>
        </w:tabs>
        <w:rPr>
          <w:b/>
          <w:bCs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/>
          <w:bCs/>
          <w:sz w:val="28"/>
          <w:szCs w:val="28"/>
        </w:rPr>
        <w:t xml:space="preserve">ПОЛОЖЕНИЕ</w:t>
      </w:r>
      <w:r>
        <w:rPr>
          <w:b/>
          <w:bCs/>
          <w:sz w:val="28"/>
          <w:szCs w:val="28"/>
        </w:rPr>
      </w:r>
    </w:p>
    <w:p>
      <w:pPr>
        <w:ind w:firstLine="709"/>
        <w:jc w:val="center"/>
        <w:rPr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bCs/>
          <w:color w:val="000000"/>
          <w:sz w:val="28"/>
          <w:szCs w:val="28"/>
        </w:rPr>
        <w:t xml:space="preserve">о проведении на территории Российской Федерации эксперимента по маркировке средствами идентификации отдельных видов радиоэлектронной продукции</w:t>
      </w:r>
      <w:r>
        <w:rPr>
          <w:b/>
          <w:bCs/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4" w:name="s9e2npguvz09"/>
      <w:r/>
      <w:bookmarkStart w:id="5" w:name="gjo1zs89g5ns"/>
      <w:r/>
      <w:bookmarkStart w:id="6" w:name="b1nt5l9d8q8d"/>
      <w:r/>
      <w:bookmarkStart w:id="7" w:name="jicascrmv3j1"/>
      <w:r/>
      <w:bookmarkEnd w:id="4"/>
      <w:r/>
      <w:bookmarkEnd w:id="5"/>
      <w:r/>
      <w:bookmarkEnd w:id="6"/>
      <w:r/>
      <w:bookmarkEnd w:id="7"/>
      <w:r>
        <w:rPr>
          <w:color w:val="000000"/>
          <w:sz w:val="28"/>
          <w:szCs w:val="28"/>
        </w:rPr>
        <w:t xml:space="preserve">1. Настоящее Положение устанавливает порядок проведения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на территории Российской Федерации эксперимента по маркировке средствами идентификации отдельных видов радиоэлектронной продукции (далее соответственно - товар, эксперимент).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2. Целями эксперимента являются: 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а) определение и согласование с федеральными органами исполнительной власти, уполномоченными на обеспечение проведения эксперимента, состава сведений о товаре, позволяющих однозначно идентифицировать единицу товара; 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б) апробация полноты и достаточности механизмов маркировки средствами идентификации товаров для обеспечения противодействия незаконному ввозу, производству и обороту товаров, а также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для повышения собираемости налогов, таможенных платежей и уплаты технологического сбора; 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8" w:name="_8eoib3w77czr"/>
      <w:r/>
      <w:bookmarkEnd w:id="8"/>
      <w:r>
        <w:rPr>
          <w:color w:val="000000"/>
          <w:sz w:val="28"/>
          <w:szCs w:val="28"/>
        </w:rPr>
        <w:t xml:space="preserve">в) определение технических возможностей государственной информационной системы мониторинга за оборотом товаров, подлежащих обязательной маркировке средствами идентиф</w:t>
      </w:r>
      <w:r>
        <w:rPr>
          <w:color w:val="000000"/>
          <w:sz w:val="28"/>
          <w:szCs w:val="28"/>
        </w:rPr>
        <w:t xml:space="preserve">икации (далее - информационная система мониторинга), в целях проведения эксперимента, в том числе ее интеграции с государственными информационными системами федеральных органов исполнительной власти, уполномоченных на обеспечение проведения экспериментов; 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г) организация эффективного взаимодействия органов государственной власти, в том числе контрольных органов,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с производителями, импортерами товаров, организациями оптовой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и розничной торговли (далее - участники оборота товаров);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д) осуществление участниками оборота товаров первичного наполнения подсистемы национального каталога маркированных товаров информационной системы мониторинга сведениями о товаре, позволяющими однозначно идентифицировать единицу товара; 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е) разработка предложений по внесению изменений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в законодательство Российской Федерации, регламентирующее оборот товаров, участвующих в эксперименте;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ж) подготовка предложений по определению кодов единой Товарной </w:t>
      </w:r>
      <w:hyperlink r:id="rId16" w:tooltip="https://login.consultant.ru/link/?req=doc&amp;base=LAW&amp;n=541939&amp;dst=100162&amp;field=134&amp;date=18.09.2026" w:history="1">
        <w:r>
          <w:rPr>
            <w:color w:val="000000"/>
            <w:sz w:val="28"/>
            <w:szCs w:val="28"/>
          </w:rPr>
          <w:t xml:space="preserve">номенклатуры</w:t>
        </w:r>
      </w:hyperlink>
      <w:r>
        <w:rPr>
          <w:color w:val="000000"/>
          <w:sz w:val="28"/>
          <w:szCs w:val="28"/>
        </w:rPr>
        <w:t xml:space="preserve"> внешнеэкономической деятельности Евразийского экономического союза и кодов Общероссийского </w:t>
      </w:r>
      <w:hyperlink r:id="rId17" w:tooltip="https://login.consultant.ru/link/?req=doc&amp;base=LAW&amp;n=538739&amp;date=18.09.2026" w:history="1">
        <w:r>
          <w:rPr>
            <w:color w:val="000000"/>
            <w:sz w:val="28"/>
            <w:szCs w:val="28"/>
          </w:rPr>
          <w:t xml:space="preserve">классификатора</w:t>
        </w:r>
      </w:hyperlink>
      <w:r>
        <w:rPr>
          <w:color w:val="000000"/>
          <w:sz w:val="28"/>
          <w:szCs w:val="28"/>
        </w:rPr>
        <w:t xml:space="preserve"> продукции по видам экономической деятельности товаров, подлежащих маркировке средствами идентификации.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3.</w:t>
      </w:r>
      <w:r>
        <w:rPr>
          <w:color w:val="000000"/>
        </w:rPr>
        <w:t xml:space="preserve"> </w:t>
      </w:r>
      <w:r>
        <w:rPr>
          <w:color w:val="000000"/>
          <w:sz w:val="28"/>
          <w:szCs w:val="28"/>
        </w:rPr>
        <w:t xml:space="preserve">Проведение мероприятий, направленных на достижение указанных в пункте 2 настоящего Положения целей, осуществляется в соответствии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с этапами, предусмотренными перечнем отд</w:t>
      </w:r>
      <w:r>
        <w:rPr>
          <w:color w:val="000000"/>
          <w:sz w:val="28"/>
          <w:szCs w:val="28"/>
        </w:rPr>
        <w:t xml:space="preserve">ельных видов радиоэлектронной продукции, подлежащих маркировке средствами идентификации в рамках эксперимента по маркировке средствами идентификации отдельных видов радиоэлектронной продукции, утвержденным постановлением Правительства Российской Федерации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от _________2026 г. № _____ «О проведении на территории Российской Федерации эксперимента по маркировке средствами идентификации отдельных видов радиоэлектронной продукции» (далее – перечень).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4. Участниками эксперимента являются: 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а) федеральные органы исполнительной власти, уполномоченные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на обеспечение проведения эксперимента; 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9" w:name="eh0nxngdbn0i"/>
      <w:r/>
      <w:bookmarkEnd w:id="9"/>
      <w:r>
        <w:rPr>
          <w:color w:val="000000"/>
          <w:sz w:val="28"/>
          <w:szCs w:val="28"/>
        </w:rPr>
        <w:t xml:space="preserve">б) участники оборота товаров; 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в) операторы электронного документооборота; 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0" w:name="xchr9xm0k0nn"/>
      <w:r/>
      <w:bookmarkEnd w:id="10"/>
      <w:r>
        <w:rPr>
          <w:color w:val="000000"/>
          <w:sz w:val="28"/>
          <w:szCs w:val="28"/>
        </w:rPr>
        <w:t xml:space="preserve">г) операторы фискальных данных; 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д) оператор информационной системы мониторинга. 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5. Участники эксперимента, указанные в </w:t>
      </w:r>
      <w:hyperlink w:tooltip="#eh0nxngdbn0i" w:anchor="eh0nxngdbn0i" w:history="1">
        <w:r>
          <w:rPr>
            <w:color w:val="000000"/>
            <w:sz w:val="28"/>
            <w:szCs w:val="28"/>
          </w:rPr>
          <w:t xml:space="preserve">подпунктах «б»</w:t>
        </w:r>
      </w:hyperlink>
      <w:r>
        <w:rPr>
          <w:color w:val="000000"/>
          <w:sz w:val="28"/>
          <w:szCs w:val="28"/>
        </w:rPr>
        <w:t xml:space="preserve"> - </w:t>
      </w:r>
      <w:hyperlink w:tooltip="#xchr9xm0k0nn" w:anchor="xchr9xm0k0nn" w:history="1">
        <w:r>
          <w:rPr>
            <w:color w:val="000000"/>
            <w:sz w:val="28"/>
            <w:szCs w:val="28"/>
          </w:rPr>
          <w:t xml:space="preserve">«г» пункта 4</w:t>
        </w:r>
      </w:hyperlink>
      <w:r>
        <w:rPr>
          <w:color w:val="000000"/>
          <w:sz w:val="28"/>
          <w:szCs w:val="28"/>
        </w:rPr>
        <w:t xml:space="preserve"> настоящего Положения, участвуют в эксперименте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на добровольной основе. Для участия в эксперименте участники оборота товаров подают заявки в соответствии с методическими рекомендациями, указанными в </w:t>
      </w:r>
      <w:hyperlink w:tooltip="#k38xk2kmj8tp" w:anchor="k38xk2kmj8tp" w:history="1">
        <w:r>
          <w:rPr>
            <w:color w:val="000000"/>
            <w:sz w:val="28"/>
            <w:szCs w:val="28"/>
          </w:rPr>
          <w:t xml:space="preserve">пункте 6</w:t>
        </w:r>
      </w:hyperlink>
      <w:r>
        <w:rPr>
          <w:color w:val="000000"/>
          <w:sz w:val="28"/>
          <w:szCs w:val="28"/>
        </w:rPr>
        <w:t xml:space="preserve"> настоящего Положения. 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1" w:name="k38xk2kmj8tp"/>
      <w:r/>
      <w:bookmarkEnd w:id="11"/>
      <w:r>
        <w:rPr>
          <w:color w:val="000000"/>
          <w:sz w:val="28"/>
          <w:szCs w:val="28"/>
        </w:rPr>
        <w:t xml:space="preserve">6. Для проведения эксперимента Министерством промышленности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и торговли Российской Федерации по согласованию с федеральными органами исполнительной власти, уполномоченными на обеспечение проведения эксперимента, утверждаются методические рекомендации,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в том числе по следующим вопросам: 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а) маркировка товаров средствами идентификации, в том числе виды используемых в эксперименте средств идентификации, структура информации, указываемой в средствах идентификации, способы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их формирования и нанесения; 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б) подача заявки на участие в эксперименте и прилагаемых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к ней документов; 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в) регистрация участников оборота товаров в информационной системе мониторинга; 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г) взаимодействие информационной системы мониторинга с иными информационными системами участников эксперимента; 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д) внесение информации в информационную систему мониторинга, включая состав представляемых участниками эксперимента сведений; 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е) наполнение подсистемы национального каталога маркированных товаров информационной системы мониторинга сведениями о товаре, позволяющими идентифицировать единицу товара; 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ж) функции участников эксперимента и порядок их взаимодействия. 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12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7. Оператор информационной системы мониторинга в период проведения эксперимента предоставляет участникам оборота товаров, подлежащих маркировке на соответствующем этапе эксперимента, предусмотренном перечнем, коды маркировки, необходимые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для формирования средств идентификации, на безвозмездной основе.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Со дня окончания этапа эксперимента </w:t>
      </w:r>
      <w:r>
        <w:rPr>
          <w:color w:val="000000"/>
          <w:sz w:val="28"/>
          <w:szCs w:val="28"/>
        </w:rPr>
        <w:t xml:space="preserve">в отношении товаров, подлежащих маркировке на соответствующем этапе эксперимента, предусмотренном перечнем, предоставление на безвозмездной основе кодов маркировки, необходимых для формирования средств идентификации указанной продукции, не осуществляется. 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uto"/>
        <w:widowControl w:val="off"/>
        <w:tabs>
          <w:tab w:val="left" w:pos="1134" w:leader="none"/>
        </w:tabs>
        <w:rPr>
          <w:sz w:val="28"/>
          <w:szCs w:val="28"/>
        </w:rPr>
        <w:sectPr>
          <w:headerReference w:type="default" r:id="rId11"/>
          <w:headerReference w:type="first" r:id="rId12"/>
          <w:footnotePr/>
          <w:endnotePr/>
          <w:type w:val="nextPage"/>
          <w:pgSz w:w="11906" w:h="16838" w:orient="portrait"/>
          <w:pgMar w:top="1134" w:right="1418" w:bottom="1134" w:left="1418" w:header="624" w:footer="624" w:gutter="0"/>
          <w:pgNumType w:start="1"/>
          <w:cols w:num="1" w:sep="0" w:space="720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962"/>
        <w:jc w:val="center"/>
        <w:tabs>
          <w:tab w:val="left" w:pos="5387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Утвержден</w:t>
      </w:r>
      <w:r>
        <w:rPr>
          <w:color w:val="000000"/>
          <w:sz w:val="28"/>
          <w:szCs w:val="28"/>
        </w:rPr>
      </w:r>
    </w:p>
    <w:p>
      <w:pPr>
        <w:ind w:left="4962"/>
        <w:jc w:val="center"/>
        <w:tabs>
          <w:tab w:val="left" w:pos="5387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постановлением Правительства</w:t>
      </w:r>
      <w:r>
        <w:rPr>
          <w:color w:val="000000"/>
          <w:sz w:val="28"/>
          <w:szCs w:val="28"/>
        </w:rPr>
      </w:r>
    </w:p>
    <w:p>
      <w:pPr>
        <w:ind w:left="4962"/>
        <w:jc w:val="center"/>
        <w:tabs>
          <w:tab w:val="left" w:pos="5387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Российской Федерации</w:t>
      </w:r>
      <w:r>
        <w:rPr>
          <w:color w:val="000000"/>
          <w:sz w:val="28"/>
          <w:szCs w:val="28"/>
        </w:rPr>
      </w:r>
    </w:p>
    <w:p>
      <w:pPr>
        <w:ind w:left="4962"/>
        <w:jc w:val="center"/>
        <w:tabs>
          <w:tab w:val="left" w:pos="5387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от ___________ 2026 г. № ______</w:t>
      </w:r>
      <w:r>
        <w:rPr>
          <w:color w:val="000000"/>
          <w:sz w:val="28"/>
          <w:szCs w:val="28"/>
        </w:rPr>
      </w:r>
    </w:p>
    <w:p>
      <w:pPr>
        <w:jc w:val="center"/>
        <w:rPr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jc w:val="center"/>
        <w:rPr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jc w:val="center"/>
        <w:rPr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jc w:val="center"/>
        <w:rPr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bCs/>
          <w:color w:val="000000"/>
          <w:sz w:val="28"/>
          <w:szCs w:val="28"/>
        </w:rPr>
        <w:t xml:space="preserve">ПЕРЕЧЕНЬ</w:t>
      </w:r>
      <w:r>
        <w:rPr>
          <w:b/>
          <w:bCs/>
          <w:color w:val="000000"/>
          <w:sz w:val="28"/>
          <w:szCs w:val="28"/>
        </w:rPr>
      </w:r>
    </w:p>
    <w:p>
      <w:pPr>
        <w:jc w:val="center"/>
        <w:rPr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bCs/>
          <w:color w:val="000000"/>
          <w:sz w:val="28"/>
          <w:szCs w:val="28"/>
        </w:rPr>
        <w:t xml:space="preserve">отдельных видов радиоэлектронной продукции, подлежащих маркировке средствами идентификации в рамках эксперимента </w:t>
      </w:r>
      <w:r>
        <w:rPr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</w:rPr>
        <w:t xml:space="preserve">по маркировке средствами идентификации отдельных видов радиоэлектронной продукции</w:t>
      </w:r>
      <w:r>
        <w:rPr>
          <w:b/>
          <w:bCs/>
          <w:color w:val="000000"/>
          <w:sz w:val="28"/>
          <w:szCs w:val="28"/>
          <w:vertAlign w:val="superscript"/>
        </w:rPr>
        <w:footnoteReference w:id="2"/>
      </w:r>
      <w:r>
        <w:rPr>
          <w:b/>
          <w:bCs/>
          <w:color w:val="000000"/>
          <w:sz w:val="28"/>
          <w:szCs w:val="28"/>
        </w:rPr>
      </w:r>
    </w:p>
    <w:p>
      <w:pPr>
        <w:rPr>
          <w:sz w:val="29"/>
          <w:szCs w:val="29"/>
        </w:rPr>
      </w:pPr>
      <w:r>
        <w:rPr>
          <w:sz w:val="29"/>
          <w:szCs w:val="29"/>
        </w:rPr>
      </w:r>
      <w:r>
        <w:rPr>
          <w:sz w:val="29"/>
          <w:szCs w:val="29"/>
        </w:rPr>
      </w:r>
    </w:p>
    <w:tbl>
      <w:tblPr>
        <w:tblStyle w:val="794"/>
        <w:tblW w:w="906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5946"/>
      </w:tblGrid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Код ТН ВЭД ЕАЭС</w:t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Наименование товара</w:t>
            </w:r>
            <w:r>
              <w:rPr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W w:w="906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/>
            <w:bookmarkStart w:id="12" w:name="_m1h23xru8mu6"/>
            <w:r/>
            <w:bookmarkEnd w:id="12"/>
            <w:r>
              <w:rPr>
                <w:sz w:val="24"/>
                <w:szCs w:val="24"/>
              </w:rPr>
              <w:t xml:space="preserve">I этап (с 1 декабря 2026 г. по 30 сентября 2027 г.)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8470 50 000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Аппараты кассовые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8472 90 100 0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Машины для сортировки, подсчета или упаковки монет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8472 90 300 0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spacing w:line="312" w:lineRule="auto"/>
              <w:widowControl w:val="off"/>
              <w:tabs>
                <w:tab w:val="left" w:pos="1134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Банкоматы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W w:w="906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II этап (с 1 декабря 2026 г. по 30 ноября 2027 г.)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</w:rPr>
              <w:t xml:space="preserve">8470 10 000 0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widowControl w:val="off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</w:rPr>
              <w:t xml:space="preserve">8470 21 000 0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widowControl w:val="off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</w:rPr>
              <w:t xml:space="preserve">8470 29 000 0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rPr>
                <w:sz w:val="29"/>
                <w:szCs w:val="29"/>
              </w:rPr>
            </w:pPr>
            <w:r>
              <w:rPr>
                <w:sz w:val="24"/>
                <w:szCs w:val="24"/>
              </w:rPr>
              <w:t xml:space="preserve">8470 30 000 0</w:t>
            </w:r>
            <w:r>
              <w:rPr>
                <w:sz w:val="29"/>
                <w:szCs w:val="29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9"/>
                <w:szCs w:val="29"/>
              </w:rPr>
            </w:pPr>
            <w:r>
              <w:rPr>
                <w:sz w:val="24"/>
                <w:szCs w:val="24"/>
              </w:rPr>
              <w:t xml:space="preserve">Машины счетные и калькуляторы</w:t>
            </w:r>
            <w:r>
              <w:rPr>
                <w:sz w:val="29"/>
                <w:szCs w:val="29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</w:rPr>
              <w:t xml:space="preserve">8471 41 000 0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rPr>
                <w:sz w:val="29"/>
                <w:szCs w:val="29"/>
              </w:rPr>
            </w:pPr>
            <w:r>
              <w:rPr>
                <w:sz w:val="24"/>
                <w:szCs w:val="24"/>
              </w:rPr>
              <w:t xml:space="preserve">8471 49 000 0</w:t>
            </w:r>
            <w:r>
              <w:rPr>
                <w:sz w:val="29"/>
                <w:szCs w:val="29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9"/>
                <w:szCs w:val="29"/>
              </w:rPr>
            </w:pPr>
            <w:r>
              <w:rPr>
                <w:sz w:val="24"/>
                <w:szCs w:val="24"/>
              </w:rPr>
              <w:t xml:space="preserve">Машины вычислительные, содержащие в одном корпусе, по крайней мере, центральный блок обработки данных и устройство ввода и вывода, объединенные или нет, в том числе поставляемые в виде систем</w:t>
            </w:r>
            <w:r>
              <w:rPr>
                <w:sz w:val="29"/>
                <w:szCs w:val="29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9"/>
                <w:szCs w:val="29"/>
              </w:rPr>
            </w:pPr>
            <w:r>
              <w:rPr>
                <w:sz w:val="24"/>
                <w:szCs w:val="24"/>
              </w:rPr>
              <w:t xml:space="preserve">8471 50 000 0</w:t>
            </w:r>
            <w:r>
              <w:rPr>
                <w:sz w:val="29"/>
                <w:szCs w:val="29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9"/>
                <w:szCs w:val="29"/>
              </w:rPr>
            </w:pPr>
            <w:r>
              <w:rPr>
                <w:sz w:val="24"/>
                <w:szCs w:val="24"/>
              </w:rPr>
              <w:t xml:space="preserve">Блоки обработки данных, отличные от описанных в субпозиции 8471 41 или 8471 49</w:t>
            </w:r>
            <w:r>
              <w:rPr>
                <w:sz w:val="29"/>
                <w:szCs w:val="29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8471 60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Устройства</w:t>
            </w:r>
            <w:r>
              <w:rPr>
                <w:sz w:val="24"/>
                <w:szCs w:val="24"/>
              </w:rPr>
              <w:t xml:space="preserve"> ввода или вывода, содержащие или не содержащие в одном корпусе запоминающие устройства (клавиатуры, мыши, геймпады, джойстики, сканеры, графические планшеты, световые перья, сенсорные панели, сенсорные экраны, интерактивные столы и аналогичные устройства)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</w:rPr>
              <w:t xml:space="preserve">8471 70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widowControl w:val="off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</w:rPr>
              <w:t xml:space="preserve">8542 32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8548 00 200 0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Устройства запоминающие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widowControl w:val="off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</w:rPr>
              <w:t xml:space="preserve">8471 80 000 0</w:t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8471 90 000 0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Устройства вычислительных машин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8472 30 000 0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Машины для работы с почтовой корреспонденцией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8523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Диски, ленты, твердотельные энергонезависимые устройства хранения данных, «интеллектуальные карточки» и другие носители для записи звука или других явлений, записанные или незаписанные, </w:t>
            </w:r>
            <w:r>
              <w:rPr>
                <w:sz w:val="24"/>
                <w:szCs w:val="24"/>
              </w:rPr>
              <w:t xml:space="preserve">включая матрицы и мастер-диски для изготовления дисков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9504 50 000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Консоли для видеоигр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W w:w="906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III этап (с 15 декабря 2026 г. по 30 ноября 2027 г.)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8517 61 000</w:t>
            </w:r>
            <w:r>
              <w:rPr>
                <w:sz w:val="24"/>
                <w:szCs w:val="24"/>
                <w:vertAlign w:val="superscript"/>
              </w:rPr>
              <w:footnoteReference w:id="3"/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Базовые станции, аппаратура для приема, преобразования и передачи или восстановления голоса, изображений или других данных 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8517 62 000</w:t>
            </w:r>
            <w:r>
              <w:rPr>
                <w:sz w:val="24"/>
                <w:szCs w:val="24"/>
                <w:vertAlign w:val="superscript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8517 69</w:t>
            </w:r>
            <w:r>
              <w:rPr>
                <w:sz w:val="24"/>
                <w:szCs w:val="24"/>
                <w:vertAlign w:val="superscript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color w:val="000000"/>
                <w:sz w:val="24"/>
                <w:szCs w:val="24"/>
              </w:rPr>
              <w:t xml:space="preserve">видеофоны, домофоны, приемники портативные </w:t>
            </w:r>
            <w:r>
              <w:rPr>
                <w:color w:val="000000"/>
                <w:sz w:val="24"/>
                <w:szCs w:val="24"/>
              </w:rPr>
              <w:br/>
              <w:t xml:space="preserve">для приема сигналов вызова или пейджингового сообщения</w:t>
            </w:r>
            <w:r/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8525 50 000 0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8525 60 000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Аппаратура передающая для радиовещания или телевидения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8526 92 000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Радиоаппаратура дистанционного управления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8527</w:t>
            </w:r>
            <w:r>
              <w:rPr>
                <w:sz w:val="24"/>
                <w:szCs w:val="24"/>
                <w:vertAlign w:val="superscript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Аппаратура приемная для радиовещания, совмещенная или не совмещенная в одном корпусе со звукозаписывающей или звуковоспроизводящей аппаратурой или часами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8528 71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8528 72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8528 73 000 0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Аппаратура приемная для телевизионной связи, включающая или не включающая в свой состав широковещательный радиоприемник или аппаратуру, записывающую или воспроизводящую звук или изображение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W w:w="906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IV этап (с 15 декабря 2026 г. по 31 января 2028 г.)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8422 11 000 0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Посудомоечные машины бытовые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8450 (за исключением 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8450 90 000 0)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Машины стиральные, бытовые или для прачечных, включая машины, оснащенные отжимным устройством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8508 (за исключением 8508 70 000)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Пылесосы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8509 (за исключением 8509 90</w:t>
            </w:r>
            <w:r>
              <w:rPr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  <w:t xml:space="preserve">000</w:t>
            </w:r>
            <w:r>
              <w:rPr>
                <w:sz w:val="24"/>
                <w:szCs w:val="24"/>
                <w:lang w:val="ru-RU"/>
              </w:rPr>
              <w:t xml:space="preserve"> 0</w:t>
            </w:r>
            <w:r>
              <w:rPr>
                <w:sz w:val="24"/>
                <w:szCs w:val="24"/>
              </w:rPr>
              <w:t xml:space="preserve">)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Машины электромеханические бытовые со встроенным электродвигателем, кроме пылесосов товарной позиции 8508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8510 (за исключением 8510 90 000 0)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Электробритвы, машинки для стрижки волос и приспособления для удаления волос со встроенным электродвигателем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8516 10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Электрические водонагреватели проточные или накопительные (емкостные) и электронагреватели погружные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8516 21 000 0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8516 29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Электрооборудование обогрева пространства и обогрева грунта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8516 31 000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8516 32 000 0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8516 33 000 0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Аппараты электротермические для ухода за волосами или для сушки рук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8516 40 000 0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Электроутюги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8516 50 000 0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Печи микроволновые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8516 60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Электроплиты, электроплитки, варочные электрокотлы; грили и ростеры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8516 71 000 0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8516 72 000 0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8516 79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Приборы электронагревательные бытовые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8418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(за исключением </w:t>
            </w:r>
            <w:r>
              <w:rPr>
                <w:sz w:val="24"/>
                <w:szCs w:val="24"/>
              </w:rPr>
              <w:t xml:space="preserve">8418 91 000 0 и</w:t>
            </w:r>
            <w:r>
              <w:rPr>
                <w:sz w:val="24"/>
                <w:szCs w:val="24"/>
              </w:rPr>
              <w:t xml:space="preserve"> 8418 99</w:t>
            </w:r>
            <w:r>
              <w:rPr>
                <w:sz w:val="24"/>
                <w:szCs w:val="24"/>
                <w:lang w:val="ru-RU"/>
              </w:rPr>
              <w:t xml:space="preserve">)</w:t>
            </w:r>
            <w:r>
              <w:rPr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Оборудование холодильное и морозильное и тепловые насосы</w:t>
            </w:r>
            <w:r>
              <w:rPr>
                <w:sz w:val="24"/>
                <w:szCs w:val="24"/>
                <w:lang w:val="ru-RU"/>
              </w:rPr>
            </w:r>
          </w:p>
        </w:tc>
      </w:tr>
      <w:tr>
        <w:tblPrEx/>
        <w:trPr/>
        <w:tc>
          <w:tcPr>
            <w:gridSpan w:val="2"/>
            <w:tcW w:w="906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 этап (с 15 декабря 2026 г. по 31 мая 2028 г.)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8414 51 000 0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8414 59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Вентиляторы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8415 (за исключением 8415 90 000)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Установки для кондиционирования воздуха, оборудованные вентилятором с двигателем и приборами для изменения температуры и влажности воздуха, включая кондиционеры, в которых влажность не может регулироваться отдельно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8530 (за исключением 8530 90 000 0)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Электрические устройства сигнализации, обеспечения безопасности или управления движением для железных дорог, трамвайных путей, автомобильных дорог, внутренних водных путей, парковочных сооружений, портов или аэродромов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8543</w:t>
            </w:r>
            <w:r>
              <w:rPr>
                <w:sz w:val="24"/>
                <w:szCs w:val="24"/>
                <w:vertAlign w:val="superscript"/>
              </w:rPr>
              <w:t xml:space="preserve">2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</w:t>
            </w:r>
            <w:r>
              <w:rPr>
                <w:sz w:val="24"/>
                <w:szCs w:val="24"/>
              </w:rPr>
              <w:t xml:space="preserve">за исключением </w:t>
            </w:r>
            <w:r>
              <w:rPr>
                <w:sz w:val="24"/>
                <w:szCs w:val="24"/>
              </w:rPr>
              <w:t xml:space="preserve">8543 40 000 0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и 8543 90 000 0)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Машины электрические и аппаратура, имеющие индивидуальные функции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9012 (за исключением 9012 90)</w:t>
            </w:r>
            <w:r>
              <w:rPr>
                <w:sz w:val="24"/>
                <w:szCs w:val="24"/>
              </w:rPr>
            </w:r>
          </w:p>
        </w:tc>
        <w:tc>
          <w:tcPr>
            <w:tcW w:w="594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Микроскопы, кроме оптических микроскопов; аппараты дифракционные</w:t>
            </w:r>
            <w:r>
              <w:rPr>
                <w:sz w:val="24"/>
                <w:szCs w:val="24"/>
              </w:rPr>
            </w:r>
          </w:p>
        </w:tc>
      </w:tr>
    </w:tbl>
    <w:p>
      <w:pPr>
        <w:rPr>
          <w:sz w:val="29"/>
          <w:szCs w:val="29"/>
        </w:rPr>
      </w:pPr>
      <w:r>
        <w:rPr>
          <w:sz w:val="29"/>
          <w:szCs w:val="29"/>
        </w:rPr>
      </w:r>
      <w:r>
        <w:rPr>
          <w:sz w:val="29"/>
          <w:szCs w:val="29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1418" w:bottom="1134" w:left="1418" w:header="624" w:footer="624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widowControl w:val="off"/>
      <w:tabs>
        <w:tab w:val="center" w:pos="4536" w:leader="none"/>
        <w:tab w:val="right" w:pos="9072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widowControl w:val="off"/>
      <w:tabs>
        <w:tab w:val="center" w:pos="4536" w:leader="none"/>
        <w:tab w:val="right" w:pos="9072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widowControl w:val="off"/>
      <w:tabs>
        <w:tab w:val="center" w:pos="4536" w:leader="none"/>
        <w:tab w:val="right" w:pos="9072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ind w:firstLine="709"/>
        <w:jc w:val="both"/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vertAlign w:val="superscript"/>
        </w:rPr>
        <w:footnoteRef/>
      </w:r>
      <w:r>
        <w:rPr>
          <w:color w:val="000000"/>
        </w:rPr>
        <w:t xml:space="preserve"> Для целей применения настоящего перечня необходимо руководствоваться кодом </w:t>
      </w:r>
      <w:r>
        <w:rPr>
          <w:color w:val="000000"/>
          <w:sz w:val="28"/>
          <w:szCs w:val="28"/>
        </w:rPr>
        <w:br/>
      </w:r>
      <w:r>
        <w:rPr>
          <w:color w:val="000000"/>
        </w:rPr>
        <w:t xml:space="preserve">ТН ВЭД ЕАЭС и наименованием товара. </w:t>
      </w:r>
      <w:r>
        <w:rPr>
          <w:color w:val="000000"/>
        </w:rPr>
      </w:r>
    </w:p>
  </w:footnote>
  <w:footnote w:id="3">
    <w:p>
      <w:pPr>
        <w:ind w:firstLine="709"/>
        <w:jc w:val="both"/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vertAlign w:val="superscript"/>
        </w:rPr>
        <w:footnoteRef/>
      </w:r>
      <w:r>
        <w:rPr>
          <w:color w:val="000000"/>
        </w:rPr>
        <w:t xml:space="preserve"> За исключением товаров, в отношении которых проводится эксперимент в соответствии </w:t>
      </w:r>
      <w:r>
        <w:rPr>
          <w:color w:val="000000"/>
          <w:sz w:val="28"/>
          <w:szCs w:val="28"/>
        </w:rPr>
        <w:br/>
      </w:r>
      <w:r>
        <w:rPr>
          <w:color w:val="000000"/>
        </w:rPr>
        <w:t xml:space="preserve">с постановлением Правительства Российской Федерации от 27 июня 2024 г. № 867 «О проведении </w:t>
      </w:r>
      <w:r>
        <w:rPr>
          <w:color w:val="000000"/>
          <w:sz w:val="28"/>
          <w:szCs w:val="28"/>
        </w:rPr>
        <w:br/>
      </w:r>
      <w:r>
        <w:rPr>
          <w:color w:val="000000"/>
        </w:rPr>
        <w:t xml:space="preserve">на территории Российской Феде</w:t>
      </w:r>
      <w:r>
        <w:rPr>
          <w:color w:val="000000"/>
        </w:rPr>
        <w:t xml:space="preserve">рации эксперимента по маркировке средствами идентификации отдельных видов пиротехнических изделий, отдельных видов средств пожаротушения, отдельных видов средств обеспечения пожарной безопасности, отдельных видов продукции для гражданской обороны и защиты </w:t>
      </w:r>
      <w:r>
        <w:rPr>
          <w:color w:val="000000"/>
          <w:sz w:val="28"/>
          <w:szCs w:val="28"/>
        </w:rPr>
        <w:br/>
      </w:r>
      <w:r>
        <w:rPr>
          <w:color w:val="000000"/>
        </w:rPr>
        <w:t xml:space="preserve">от чрезвычайных ситуаций природного и техногенного характера».</w:t>
      </w:r>
      <w:r>
        <w:rPr>
          <w:color w:val="000000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tabs>
        <w:tab w:val="center" w:pos="4677" w:leader="none"/>
        <w:tab w:val="right" w:pos="9355" w:leader="none"/>
      </w:tabs>
      <w:rPr>
        <w:color w:val="000000"/>
        <w:sz w:val="24"/>
        <w:szCs w:val="24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 xml:space="preserve">PAGE</w:instrText>
    </w:r>
    <w:r>
      <w:rPr>
        <w:color w:val="000000"/>
        <w:sz w:val="24"/>
        <w:szCs w:val="24"/>
      </w:rPr>
      <w:fldChar w:fldCharType="separate"/>
    </w:r>
    <w:r>
      <w:rPr>
        <w:color w:val="000000"/>
        <w:sz w:val="24"/>
        <w:szCs w:val="24"/>
      </w:rPr>
      <w:t xml:space="preserve">3</w:t>
    </w:r>
    <w:r>
      <w:rPr>
        <w:color w:val="000000"/>
        <w:sz w:val="24"/>
        <w:szCs w:val="24"/>
      </w:rPr>
      <w:fldChar w:fldCharType="end"/>
    </w:r>
    <w:r>
      <w:rPr>
        <w:color w:val="000000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tabs>
        <w:tab w:val="center" w:pos="4677" w:leader="none"/>
        <w:tab w:val="right" w:pos="9355" w:leader="none"/>
      </w:tabs>
      <w:rPr>
        <w:color w:val="000000"/>
        <w:sz w:val="24"/>
        <w:szCs w:val="24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 xml:space="preserve">PAGE</w:instrText>
    </w:r>
    <w:r>
      <w:rPr>
        <w:color w:val="000000"/>
        <w:sz w:val="24"/>
        <w:szCs w:val="24"/>
      </w:rPr>
      <w:fldChar w:fldCharType="end"/>
    </w:r>
    <w:r>
      <w:rPr>
        <w:color w:val="000000"/>
        <w:sz w:val="24"/>
        <w:szCs w:val="24"/>
      </w:rPr>
    </w:r>
  </w:p>
  <w:p>
    <w:pPr>
      <w:tabs>
        <w:tab w:val="center" w:pos="4677" w:leader="none"/>
        <w:tab w:val="right" w:pos="9355" w:leader="none"/>
      </w:tabs>
      <w:rPr>
        <w:color w:val="000000"/>
        <w:sz w:val="24"/>
        <w:szCs w:val="24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  <w:sz w:val="24"/>
        <w:szCs w:val="24"/>
      </w:rPr>
    </w:r>
    <w:r>
      <w:rPr>
        <w:color w:val="000000"/>
        <w:sz w:val="24"/>
        <w:szCs w:val="24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tabs>
        <w:tab w:val="center" w:pos="4677" w:leader="none"/>
        <w:tab w:val="right" w:pos="9355" w:leader="none"/>
      </w:tabs>
      <w:rPr>
        <w:color w:val="000000"/>
        <w:sz w:val="24"/>
        <w:szCs w:val="24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  <w:sz w:val="24"/>
        <w:szCs w:val="24"/>
      </w:rPr>
    </w:r>
    <w:r>
      <w:rPr>
        <w:color w:val="000000"/>
        <w:sz w:val="24"/>
        <w:szCs w:val="24"/>
      </w:rPr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tabs>
        <w:tab w:val="center" w:pos="4677" w:leader="none"/>
        <w:tab w:val="right" w:pos="9355" w:leader="none"/>
      </w:tabs>
      <w:rPr>
        <w:color w:val="000000"/>
        <w:sz w:val="24"/>
        <w:szCs w:val="24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 xml:space="preserve">PAGE</w:instrText>
    </w:r>
    <w:r>
      <w:rPr>
        <w:color w:val="000000"/>
        <w:sz w:val="24"/>
        <w:szCs w:val="24"/>
      </w:rPr>
      <w:fldChar w:fldCharType="separate"/>
    </w:r>
    <w:r>
      <w:rPr>
        <w:color w:val="000000"/>
        <w:sz w:val="24"/>
        <w:szCs w:val="24"/>
      </w:rPr>
      <w:t xml:space="preserve">3</w:t>
    </w:r>
    <w:r>
      <w:rPr>
        <w:color w:val="000000"/>
        <w:sz w:val="24"/>
        <w:szCs w:val="24"/>
      </w:rPr>
      <w:fldChar w:fldCharType="end"/>
    </w:r>
    <w:r>
      <w:rPr>
        <w:color w:val="000000"/>
        <w:sz w:val="24"/>
        <w:szCs w:val="24"/>
      </w:rPr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tabs>
        <w:tab w:val="center" w:pos="4677" w:leader="none"/>
        <w:tab w:val="right" w:pos="9355" w:leader="none"/>
      </w:tabs>
      <w:rPr>
        <w:color w:val="000000"/>
        <w:sz w:val="24"/>
        <w:szCs w:val="24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  <w:sz w:val="24"/>
        <w:szCs w:val="24"/>
      </w:rPr>
    </w:r>
    <w:r>
      <w:rPr>
        <w:color w:val="000000"/>
        <w:sz w:val="24"/>
        <w:szCs w:val="24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88"/>
    <w:link w:val="782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88"/>
    <w:link w:val="783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88"/>
    <w:link w:val="784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88"/>
    <w:link w:val="785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88"/>
    <w:link w:val="786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88"/>
    <w:link w:val="787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81"/>
    <w:next w:val="78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8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81"/>
    <w:next w:val="78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8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81"/>
    <w:next w:val="78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8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781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788"/>
    <w:link w:val="792"/>
    <w:uiPriority w:val="10"/>
    <w:rPr>
      <w:sz w:val="48"/>
      <w:szCs w:val="48"/>
    </w:rPr>
  </w:style>
  <w:style w:type="character" w:styleId="37">
    <w:name w:val="Subtitle Char"/>
    <w:basedOn w:val="788"/>
    <w:link w:val="793"/>
    <w:uiPriority w:val="11"/>
    <w:rPr>
      <w:sz w:val="24"/>
      <w:szCs w:val="24"/>
    </w:rPr>
  </w:style>
  <w:style w:type="paragraph" w:styleId="38">
    <w:name w:val="Quote"/>
    <w:basedOn w:val="781"/>
    <w:next w:val="78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81"/>
    <w:next w:val="78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781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788"/>
    <w:link w:val="42"/>
    <w:uiPriority w:val="99"/>
  </w:style>
  <w:style w:type="paragraph" w:styleId="44">
    <w:name w:val="Footer"/>
    <w:basedOn w:val="781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788"/>
    <w:link w:val="44"/>
    <w:uiPriority w:val="99"/>
  </w:style>
  <w:style w:type="paragraph" w:styleId="46">
    <w:name w:val="Caption"/>
    <w:basedOn w:val="781"/>
    <w:next w:val="781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8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78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8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8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88"/>
    <w:uiPriority w:val="99"/>
    <w:unhideWhenUsed/>
    <w:rPr>
      <w:vertAlign w:val="superscript"/>
    </w:rPr>
  </w:style>
  <w:style w:type="paragraph" w:styleId="178">
    <w:name w:val="endnote text"/>
    <w:basedOn w:val="78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88"/>
    <w:uiPriority w:val="99"/>
    <w:semiHidden/>
    <w:unhideWhenUsed/>
    <w:rPr>
      <w:vertAlign w:val="superscript"/>
    </w:rPr>
  </w:style>
  <w:style w:type="paragraph" w:styleId="181">
    <w:name w:val="toc 1"/>
    <w:basedOn w:val="781"/>
    <w:next w:val="78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81"/>
    <w:next w:val="78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81"/>
    <w:next w:val="78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81"/>
    <w:next w:val="78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81"/>
    <w:next w:val="78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81"/>
    <w:next w:val="78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81"/>
    <w:next w:val="78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81"/>
    <w:next w:val="78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81"/>
    <w:next w:val="78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81"/>
    <w:next w:val="781"/>
    <w:uiPriority w:val="99"/>
    <w:unhideWhenUsed/>
    <w:pPr>
      <w:spacing w:after="0" w:afterAutospacing="0"/>
    </w:pPr>
  </w:style>
  <w:style w:type="paragraph" w:styleId="781" w:default="1">
    <w:name w:val="Normal"/>
    <w:qFormat/>
  </w:style>
  <w:style w:type="paragraph" w:styleId="782">
    <w:name w:val="Heading 1"/>
    <w:basedOn w:val="781"/>
    <w:next w:val="781"/>
    <w:uiPriority w:val="9"/>
    <w:qFormat/>
    <w:pPr>
      <w:keepNext/>
      <w:spacing w:before="240" w:after="60"/>
      <w:outlineLvl w:val="0"/>
    </w:pPr>
    <w:rPr>
      <w:rFonts w:ascii="Calibri" w:hAnsi="Calibri" w:eastAsia="Calibri" w:cs="Calibri"/>
      <w:b/>
      <w:bCs/>
      <w:sz w:val="32"/>
      <w:szCs w:val="32"/>
    </w:rPr>
  </w:style>
  <w:style w:type="paragraph" w:styleId="783">
    <w:name w:val="Heading 2"/>
    <w:basedOn w:val="781"/>
    <w:next w:val="781"/>
    <w:uiPriority w:val="9"/>
    <w:semiHidden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  <w:szCs w:val="34"/>
    </w:rPr>
  </w:style>
  <w:style w:type="paragraph" w:styleId="784">
    <w:name w:val="Heading 3"/>
    <w:basedOn w:val="781"/>
    <w:next w:val="781"/>
    <w:uiPriority w:val="9"/>
    <w:semiHidden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85">
    <w:name w:val="Heading 4"/>
    <w:basedOn w:val="781"/>
    <w:next w:val="781"/>
    <w:uiPriority w:val="9"/>
    <w:semiHidden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86">
    <w:name w:val="Heading 5"/>
    <w:basedOn w:val="781"/>
    <w:next w:val="781"/>
    <w:uiPriority w:val="9"/>
    <w:semiHidden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87">
    <w:name w:val="Heading 6"/>
    <w:basedOn w:val="781"/>
    <w:next w:val="781"/>
    <w:uiPriority w:val="9"/>
    <w:semiHidden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8" w:default="1">
    <w:name w:val="Default Paragraph Font"/>
    <w:uiPriority w:val="1"/>
    <w:semiHidden/>
    <w:unhideWhenUsed/>
  </w:style>
  <w:style w:type="table" w:styleId="78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90" w:default="1">
    <w:name w:val="No List"/>
    <w:uiPriority w:val="99"/>
    <w:semiHidden/>
    <w:unhideWhenUsed/>
  </w:style>
  <w:style w:type="table" w:styleId="791" w:customStyle="1">
    <w:name w:val="TableNormal"/>
    <w:tblPr>
      <w:tblCellMar>
        <w:left w:w="100" w:type="dxa"/>
        <w:top w:w="100" w:type="dxa"/>
        <w:right w:w="100" w:type="dxa"/>
        <w:bottom w:w="100" w:type="dxa"/>
      </w:tblCellMar>
    </w:tblPr>
  </w:style>
  <w:style w:type="paragraph" w:styleId="792">
    <w:name w:val="Title"/>
    <w:basedOn w:val="781"/>
    <w:next w:val="781"/>
    <w:uiPriority w:val="10"/>
    <w:qFormat/>
    <w:pPr>
      <w:jc w:val="center"/>
      <w:spacing w:before="240" w:after="60"/>
    </w:pPr>
    <w:rPr>
      <w:rFonts w:ascii="Calibri" w:hAnsi="Calibri" w:eastAsia="Calibri" w:cs="Calibri"/>
      <w:b/>
      <w:bCs/>
      <w:sz w:val="32"/>
      <w:szCs w:val="32"/>
    </w:rPr>
  </w:style>
  <w:style w:type="paragraph" w:styleId="793">
    <w:name w:val="Subtitle"/>
    <w:basedOn w:val="781"/>
    <w:next w:val="781"/>
    <w:uiPriority w:val="11"/>
    <w:qFormat/>
    <w:pPr>
      <w:spacing w:before="200" w:after="200"/>
    </w:pPr>
    <w:rPr>
      <w:sz w:val="24"/>
      <w:szCs w:val="24"/>
    </w:rPr>
  </w:style>
  <w:style w:type="table" w:styleId="794" w:customStyle="1">
    <w:name w:val="StGen0"/>
    <w:basedOn w:val="791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paragraph" w:styleId="795">
    <w:name w:val="annotation text"/>
    <w:basedOn w:val="781"/>
    <w:link w:val="796"/>
    <w:uiPriority w:val="99"/>
    <w:semiHidden/>
    <w:unhideWhenUsed/>
  </w:style>
  <w:style w:type="character" w:styleId="796" w:customStyle="1">
    <w:name w:val="Текст примечания Знак"/>
    <w:basedOn w:val="788"/>
    <w:link w:val="795"/>
    <w:uiPriority w:val="99"/>
    <w:semiHidden/>
  </w:style>
  <w:style w:type="character" w:styleId="797">
    <w:name w:val="annotation reference"/>
    <w:basedOn w:val="788"/>
    <w:uiPriority w:val="99"/>
    <w:semiHidden/>
    <w:unhideWhenUsed/>
    <w:rPr>
      <w:sz w:val="16"/>
      <w:szCs w:val="16"/>
    </w:rPr>
  </w:style>
  <w:style w:type="paragraph" w:styleId="798">
    <w:name w:val="annotation subject"/>
    <w:basedOn w:val="795"/>
    <w:next w:val="795"/>
    <w:link w:val="799"/>
    <w:uiPriority w:val="99"/>
    <w:semiHidden/>
    <w:unhideWhenUsed/>
    <w:rPr>
      <w:b/>
      <w:bCs/>
    </w:rPr>
  </w:style>
  <w:style w:type="character" w:styleId="799" w:customStyle="1">
    <w:name w:val="Тема примечания Знак"/>
    <w:basedOn w:val="796"/>
    <w:link w:val="798"/>
    <w:uiPriority w:val="99"/>
    <w:semiHidden/>
    <w:rPr>
      <w:b/>
      <w:bCs/>
    </w:rPr>
  </w:style>
  <w:style w:type="paragraph" w:styleId="800">
    <w:name w:val="Balloon Text"/>
    <w:basedOn w:val="781"/>
    <w:link w:val="801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01" w:customStyle="1">
    <w:name w:val="Текст выноски Знак"/>
    <w:basedOn w:val="788"/>
    <w:link w:val="800"/>
    <w:uiPriority w:val="99"/>
    <w:semiHidden/>
    <w:rPr>
      <w:rFonts w:ascii="Segoe UI" w:hAnsi="Segoe UI" w:cs="Segoe UI"/>
      <w:sz w:val="18"/>
      <w:szCs w:val="18"/>
    </w:rPr>
  </w:style>
  <w:style w:type="paragraph" w:styleId="802">
    <w:name w:val="Revision"/>
    <w:hidden/>
    <w:uiPriority w:val="9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footer" Target="footer3.xml" /><Relationship Id="rId16" Type="http://schemas.openxmlformats.org/officeDocument/2006/relationships/hyperlink" Target="https://login.consultant.ru/link/?req=doc&amp;base=LAW&amp;n=541939&amp;dst=100162&amp;field=134&amp;date=18.09.2026" TargetMode="External"/><Relationship Id="rId17" Type="http://schemas.openxmlformats.org/officeDocument/2006/relationships/hyperlink" Target="https://login.consultant.ru/link/?req=doc&amp;base=LAW&amp;n=538739&amp;date=18.09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DocSecurity>4</DocSecurity>
  <ScaleCrop>false</ScaleCrop>
  <Company/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2026-10-14T11:44:00Z</dcterms:created>
  <dcterms:modified xsi:type="dcterms:W3CDTF">2026-10-19T08:41:03Z</dcterms:modified>
</cp:coreProperties>
</file>