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  <w:shd w:fill="auto" w:val="clear"/>
        </w:rPr>
      </w:pPr>
      <w:r>
        <w:rPr>
          <w:sz w:val="2"/>
          <w:szCs w:val="2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270" distB="0" distL="1270" distR="0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7255" cy="1447165"/>
                <wp:effectExtent l="1270" t="1270" r="0" b="0"/>
                <wp:wrapNone/>
                <wp:docPr id="2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1447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rFonts w:ascii="Tinos" w:hAnsi="Tinos" w:eastAsia="Calibr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rFonts w:ascii="Tinos" w:hAnsi="Tinos" w:eastAsia="Calibri"/>
                                <w:b/>
                                <w:b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 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» 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____20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г.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20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/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none"/>
                                <w:lang w:eastAsia="en-US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ru-RU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ru-RU" w:eastAsia="en-US" w:bidi="ar-SA"/>
                              </w:rPr>
                              <w:t>__________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6pt;height:113.9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rFonts w:ascii="Tinos" w:hAnsi="Tinos" w:eastAsia="Calibr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rFonts w:ascii="Tinos" w:hAnsi="Tinos" w:eastAsia="Calibri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rFonts w:ascii="Tinos" w:hAnsi="Tinos" w:eastAsia="Calibri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rFonts w:ascii="Tinos" w:hAnsi="Tinos" w:eastAsia="Calibri"/>
                          <w:b/>
                          <w:b/>
                          <w:bCs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/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 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» 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____20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г.</w:t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20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/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eastAsia="Calibri" w:ascii="Tinos" w:hAnsi="Tinos"/>
                          <w:color w:val="000000"/>
                          <w:u w:val="none"/>
                          <w:lang w:eastAsia="en-US"/>
                        </w:rPr>
                        <w:t xml:space="preserve"> </w:t>
                      </w:r>
                      <w:bookmarkEnd w:id="1"/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ru-RU" w:eastAsia="en-US" w:bidi="ar-SA"/>
                        </w:rPr>
                        <w:t xml:space="preserve"> 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ru-RU" w:eastAsia="en-US" w:bidi="ar-SA"/>
                        </w:rPr>
                        <w:t>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>КОМИТЕТ ИВАНОВСКОЙ ОБЛАСТИ</w:t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ПО ГОСУДАРСТВЕННОЙ ОХРАНЕ ОБЪЕКТОВ </w:t>
      </w:r>
    </w:p>
    <w:p>
      <w:pPr>
        <w:pStyle w:val="Normal"/>
        <w:jc w:val="center"/>
        <w:rPr>
          <w:b/>
          <w:b/>
          <w:sz w:val="32"/>
          <w:szCs w:val="32"/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  <w:shd w:fill="auto" w:val="clear"/>
              </w:rPr>
            </w:pPr>
            <w:r>
              <w:rPr>
                <w:color w:val="000000"/>
                <w:sz w:val="8"/>
                <w:szCs w:val="8"/>
                <w:shd w:fill="auto" w:val="clear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  <w:shd w:fill="auto" w:val="clear"/>
        </w:rPr>
      </w:pPr>
      <w:r>
        <w:rPr>
          <w:spacing w:val="80"/>
          <w:shd w:fill="auto" w:val="clear"/>
        </w:rPr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  <w:shd w:fill="auto" w:val="clear"/>
        </w:rPr>
      </w:pPr>
      <w:r>
        <w:rPr>
          <w:b/>
          <w:spacing w:val="80"/>
          <w:sz w:val="40"/>
          <w:szCs w:val="40"/>
          <w:shd w:fill="auto" w:val="clear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10152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697"/>
        <w:gridCol w:w="1703"/>
        <w:gridCol w:w="3402"/>
      </w:tblGrid>
      <w:tr>
        <w:trPr>
          <w:trHeight w:val="365" w:hRule="atLeast"/>
        </w:trPr>
        <w:tc>
          <w:tcPr>
            <w:tcW w:w="3350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</w:t>
            </w:r>
            <w:r>
              <w:rPr>
                <w:sz w:val="28"/>
                <w:szCs w:val="28"/>
                <w:shd w:fill="auto" w:val="clear"/>
              </w:rPr>
              <w:t>» ____</w:t>
            </w:r>
            <w:r>
              <w:rPr>
                <w:sz w:val="28"/>
                <w:szCs w:val="28"/>
                <w:shd w:fill="auto" w:val="clear"/>
              </w:rPr>
              <w:t>__</w:t>
            </w:r>
            <w:r>
              <w:rPr>
                <w:sz w:val="28"/>
                <w:szCs w:val="28"/>
                <w:shd w:fill="auto" w:val="clear"/>
              </w:rPr>
              <w:t>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 xml:space="preserve"> _</w:t>
            </w:r>
            <w:r>
              <w:rPr>
                <w:sz w:val="28"/>
                <w:szCs w:val="28"/>
                <w:shd w:fill="auto" w:val="clear"/>
              </w:rPr>
              <w:t>20</w:t>
            </w:r>
            <w:r>
              <w:rPr>
                <w:sz w:val="28"/>
                <w:szCs w:val="28"/>
                <w:u w:val="single"/>
                <w:shd w:fill="auto" w:val="clear"/>
              </w:rPr>
              <w:t>2</w:t>
            </w:r>
            <w:r>
              <w:rPr>
                <w:sz w:val="28"/>
                <w:szCs w:val="28"/>
                <w:u w:val="single"/>
                <w:shd w:fill="auto" w:val="clear"/>
              </w:rPr>
              <w:t>_</w:t>
            </w:r>
            <w:r>
              <w:rPr>
                <w:sz w:val="28"/>
                <w:szCs w:val="28"/>
                <w:u w:val="single"/>
                <w:shd w:fill="auto" w:val="clear"/>
              </w:rPr>
              <w:t>_</w:t>
            </w:r>
            <w:r>
              <w:rPr>
                <w:sz w:val="28"/>
                <w:szCs w:val="28"/>
                <w:shd w:fill="auto" w:val="clear"/>
              </w:rPr>
              <w:t xml:space="preserve"> г.</w:t>
            </w:r>
          </w:p>
        </w:tc>
        <w:tc>
          <w:tcPr>
            <w:tcW w:w="340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г. Иваново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 xml:space="preserve">№ </w:t>
            </w:r>
            <w:r>
              <w:rPr>
                <w:sz w:val="28"/>
                <w:szCs w:val="28"/>
                <w:shd w:fill="auto" w:val="clear"/>
              </w:rPr>
              <w:t>__</w:t>
            </w:r>
            <w:r>
              <w:rPr>
                <w:sz w:val="28"/>
                <w:szCs w:val="28"/>
                <w:shd w:fill="auto" w:val="clear"/>
              </w:rPr>
              <w:t>__</w:t>
            </w:r>
            <w:r>
              <w:rPr>
                <w:sz w:val="28"/>
                <w:szCs w:val="28"/>
                <w:shd w:fill="auto" w:val="clear"/>
              </w:rPr>
              <w:t>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-о_</w:t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ind w:left="0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 непроведении конкурса на замещение вакантных должностей </w:t>
              <w:br/>
              <w:t xml:space="preserve">государственной гражданской службы Ивановской области в комитете Ивановской области по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государственной охране объектов культурного наследия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при назначении на должности государственной гражданской службы Ивановской области, относящиеся к главной, ведущей и старшей группам, </w:t>
              <w:br/>
              <w:t>в 202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5 и 2026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год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ах</w:t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402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В соответствии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со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статьей 2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Федерального закона от 04.11.2022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424-ФЗ «О внесении изменений в статьи 22 и 25.1 Федерального закона                                  «О государственной гражданской службе Российской Федерации»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                               </w:t>
            </w:r>
            <w:hyperlink r:id="rId4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>п р и к а з ы в а ю:</w:t>
              </w:r>
            </w:hyperlink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1.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Не проводить в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комитете Ивановской области по государственной охране объектов культурного наследия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в 202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5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и 202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6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годах конкурс на замещение вакантных должностей государственной гражданской службы Ивановской области, предусмотренный </w:t>
            </w:r>
            <w:hyperlink r:id="rId5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FF"/>
                  <w:sz w:val="28"/>
                  <w:szCs w:val="28"/>
                  <w:u w:val="none"/>
                </w:rPr>
                <w:t>Указом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Президента Российской Федерации                           от 01.02.2005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112 «О конкурсе на замещение вакантной должности государственной гражданской службы Российской Федерации», при назначении                   на должности государственной гражданской службы Ивановской области, относящиеся к главной, ведущей и старшей группам. 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2</w:t>
            </w:r>
            <w:r>
              <w:rPr>
                <w:rFonts w:eastAsia="Times New Roman" w:cs="Times New Roman" w:ascii="Tinos" w:hAnsi="Tinos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. Контроль за исполнением настоящего приказа оставляю за собой.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color w:val="000000"/>
                <w:sz w:val="20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152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ind w:left="0" w:right="0"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5047" w:type="dxa"/>
            <w:gridSpan w:val="2"/>
            <w:tcBorders/>
          </w:tcPr>
          <w:p>
            <w:pPr>
              <w:pStyle w:val="ConsPlusNormal"/>
              <w:widowControl w:val="false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Председатель комитета</w:t>
            </w:r>
          </w:p>
          <w:p>
            <w:pPr>
              <w:pStyle w:val="ConsPlusNormal"/>
              <w:widowControl w:val="false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А.А</w:t>
            </w:r>
            <w:r>
              <w:rPr>
                <w:sz w:val="28"/>
                <w:szCs w:val="28"/>
                <w:shd w:fill="auto" w:val="clear"/>
              </w:rPr>
              <w:t>. Макаров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/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qFormat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11">
    <w:name w:val="Табличный Знак1"/>
    <w:qFormat/>
    <w:rPr>
      <w:rFonts w:ascii="Arial" w:hAnsi="Arial" w:eastAsia="Times New Roman" w:cs="Arial"/>
      <w:sz w:val="18"/>
      <w:szCs w:val="24"/>
      <w:lang w:eastAsia="ar-SA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>
    <w:name w:val="Hyperlink"/>
    <w:basedOn w:val="DefaultParagraphFont"/>
    <w:rPr>
      <w:color w:val="0000FF"/>
      <w:u w:val="single"/>
    </w:rPr>
  </w:style>
  <w:style w:type="character" w:styleId="12">
    <w:name w:val="Заголовок 1 Знак"/>
    <w:basedOn w:val="DefaultParagraphFont"/>
    <w:qFormat/>
    <w:rPr>
      <w:rFonts w:ascii="Bookman Old Style" w:hAnsi="Bookman Old Style" w:eastAsia="Bookman Old Style" w:cs="Bookman Old Style"/>
      <w:sz w:val="27"/>
      <w:szCs w:val="27"/>
    </w:rPr>
  </w:style>
  <w:style w:type="character" w:styleId="Style16">
    <w:name w:val="Название Знак"/>
    <w:basedOn w:val="DefaultParagraphFont"/>
    <w:qFormat/>
    <w:rPr>
      <w:rFonts w:ascii="Times New Roman" w:hAnsi="Times New Roman" w:eastAsia="Times New Roman" w:cs="Times New Roman"/>
      <w:sz w:val="36"/>
      <w:szCs w:val="36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Таблица Центр"/>
    <w:basedOn w:val="Normal"/>
    <w:autoRedefine/>
    <w:qFormat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5">
    <w:name w:val="Табличный"/>
    <w:basedOn w:val="Style20"/>
    <w:qFormat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7">
    <w:name w:val="Title"/>
    <w:basedOn w:val="Normal"/>
    <w:qFormat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>
    <w:name w:val="Table Paragraph"/>
    <w:basedOn w:val="Normal"/>
    <w:qFormat/>
    <w:pPr>
      <w:suppressAutoHyphens w:val="false"/>
    </w:pPr>
    <w:rPr>
      <w:sz w:val="22"/>
      <w:szCs w:val="22"/>
      <w:lang w:eastAsia="en-US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32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ZB&amp;n=494638&amp;dst=100014" TargetMode="External"/><Relationship Id="rId4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5" Type="http://schemas.openxmlformats.org/officeDocument/2006/relationships/hyperlink" Target="https://login.consultant.ru/link/?req=doc&amp;base=RZB&amp;n=48790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LibreOffice/7.4.3.2$Linux_X86_64 LibreOffice_project/40$Build-2</Application>
  <AppVersion>15.0000</AppVersion>
  <Pages>1</Pages>
  <Words>207</Words>
  <Characters>1584</Characters>
  <CharactersWithSpaces>1886</CharactersWithSpaces>
  <Paragraphs>21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2025-01-10T15:59:00Z</dcterms:created>
  <dc:creator>Federal1</dc:creator>
  <dc:description/>
  <dc:language>ru-RU</dc:language>
  <cp:lastModifiedBy/>
  <cp:lastPrinted>2024-02-21T16:10:15Z</cp:lastPrinted>
  <dcterms:modified xsi:type="dcterms:W3CDTF">2025-01-10T16:08:36Z</dcterms:modified>
  <cp:revision>28</cp:revision>
  <dc:subject/>
  <dc:title>Приказ Минюста России от 12.12.2022 N 383"О непроведении конкурса на замещение вакантных должностей федеральной государственной гражданской службы центрального аппарата Министерства юстиции Российской Федерации при назначении на должности федеральной государственной гражданской службы, относящиеся к главной, ведущей и старшей группам в 2022 и 2023 годах"(Зарегистрировано в Минюсте России 16.12.2022 N 71559)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