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2652514</wp:posOffset>
                </wp:positionH>
                <wp:positionV relativeFrom="paragraph">
                  <wp:posOffset>0</wp:posOffset>
                </wp:positionV>
                <wp:extent cx="653415" cy="733425"/>
                <wp:effectExtent l="0" t="0" r="0" b="0"/>
                <wp:wrapNone/>
                <wp:docPr id="1" name="Рисунок 2" descr="C:\Users\Дизайнер\Desktop\Изображение в Безымянный-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4087270" name="Picture 1" descr="C:\Users\Дизайнер\Desktop\Изображение в Безымянный-1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53414" cy="7334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9264;o:allowoverlap:true;o:allowincell:true;mso-position-horizontal-relative:text;margin-left:208.86pt;mso-position-horizontal:absolute;mso-position-vertical-relative:text;margin-top:0.00pt;mso-position-vertical:absolute;width:51.45pt;height:57.75pt;mso-wrap-distance-left:9.00pt;mso-wrap-distance-top:0.00pt;mso-wrap-distance-right:9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r/>
      <w:r/>
    </w:p>
    <w:p>
      <w:pPr>
        <w:jc w:val="center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jc w:val="center"/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МИНИСТЕРСТВО ТРАНСПОРТА РОССИЙСКОЙ ФЕДЕРАЦИИ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(МИНТРАНС РОССИИ)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jc w:val="center"/>
        <w:spacing w:before="120"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ФЕДЕРАЛЬНАЯ СЛУЖБА ПО НАДЗОРУ В СФЕРЕ ТРАНСПОРТА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(РОСТРАНСНАДЗОР)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 xml:space="preserve">П Р И К А З</w:t>
      </w:r>
      <w:r>
        <w:rPr>
          <w:rFonts w:ascii="Times New Roman" w:hAnsi="Times New Roman" w:cs="Times New Roman"/>
          <w:b/>
          <w:sz w:val="34"/>
          <w:szCs w:val="34"/>
        </w:rPr>
      </w:r>
      <w:r>
        <w:rPr>
          <w:rFonts w:ascii="Times New Roman" w:hAnsi="Times New Roman" w:cs="Times New Roman"/>
          <w:b/>
          <w:sz w:val="34"/>
          <w:szCs w:val="3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________________________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№ ________________________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Москва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 w:eastAsiaTheme="minorEastAsia"/>
          <w:b/>
          <w:sz w:val="28"/>
          <w:lang w:eastAsia="ru-RU"/>
        </w:rPr>
      </w:pPr>
      <w:r>
        <w:rPr>
          <w:rFonts w:ascii="Times New Roman" w:hAnsi="Times New Roman" w:cs="Times New Roman" w:eastAsiaTheme="minorEastAsia"/>
          <w:b/>
          <w:sz w:val="28"/>
          <w:lang w:eastAsia="ru-RU"/>
        </w:rPr>
        <w:t xml:space="preserve">Об установлении содержания и форм, а также сроков представления высшим должностным лицом субъекта Российской </w:t>
      </w:r>
      <w:bookmarkStart w:id="0" w:name="_GoBack"/>
      <w:r/>
      <w:bookmarkEnd w:id="0"/>
      <w:r>
        <w:rPr>
          <w:rFonts w:ascii="Times New Roman" w:hAnsi="Times New Roman" w:cs="Times New Roman" w:eastAsiaTheme="minorEastAsia"/>
          <w:b/>
          <w:sz w:val="28"/>
          <w:lang w:eastAsia="ru-RU"/>
        </w:rPr>
        <w:t xml:space="preserve">Федерации отчетности</w:t>
      </w:r>
      <w:r>
        <w:rPr>
          <w:rFonts w:ascii="Times New Roman" w:hAnsi="Times New Roman" w:cs="Times New Roman" w:eastAsiaTheme="minorEastAsia"/>
          <w:b/>
          <w:sz w:val="28"/>
          <w:lang w:eastAsia="ru-RU"/>
        </w:rPr>
        <w:t xml:space="preserve"> </w:t>
        <w:br/>
        <w:t xml:space="preserve">об осуществлении переданных полномочий по федеральному государственному к</w:t>
      </w:r>
      <w:r>
        <w:rPr>
          <w:rFonts w:ascii="Times New Roman" w:hAnsi="Times New Roman" w:cs="Times New Roman" w:eastAsiaTheme="minorEastAsia"/>
          <w:b/>
          <w:sz w:val="28"/>
          <w:lang w:eastAsia="ru-RU"/>
        </w:rPr>
        <w:t xml:space="preserve">онтролю (надзору) за соблюдением правил технической эксплуатации внеуличного транспорта и правил пользования внеуличным транспортом</w:t>
      </w:r>
      <w:r>
        <w:rPr>
          <w:rFonts w:ascii="Times New Roman" w:hAnsi="Times New Roman" w:cs="Times New Roman" w:eastAsiaTheme="minorEastAsia"/>
          <w:b/>
          <w:sz w:val="28"/>
          <w:lang w:eastAsia="ru-RU"/>
        </w:rPr>
      </w:r>
      <w:r>
        <w:rPr>
          <w:rFonts w:ascii="Times New Roman" w:hAnsi="Times New Roman" w:cs="Times New Roman" w:eastAsiaTheme="minorEastAsia"/>
          <w:b/>
          <w:sz w:val="28"/>
          <w:lang w:eastAsia="ru-RU"/>
        </w:rPr>
      </w:r>
    </w:p>
    <w:p>
      <w:pPr>
        <w:pStyle w:val="894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95"/>
        <w:jc w:val="both"/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pStyle w:val="895"/>
        <w:ind w:firstLine="709"/>
        <w:jc w:val="both"/>
      </w:pPr>
      <w:r>
        <w:rPr>
          <w:sz w:val="28"/>
        </w:rPr>
        <w:t xml:space="preserve">В соответствии с частью 1 и пунктом 4 части 4 статьи 6 Федерального закона от 29 декабря 2017 г. № 442-ФЗ «О внеуличном тр</w:t>
      </w:r>
      <w:r>
        <w:rPr>
          <w:sz w:val="28"/>
        </w:rPr>
        <w:t xml:space="preserve">анспорте и о внесении изменений в отдельные законодательные акты Российской Федерации», пунктом 1 </w:t>
      </w:r>
      <w:r>
        <w:rPr>
          <w:sz w:val="28"/>
        </w:rPr>
        <w:br/>
        <w:t xml:space="preserve">и подпунктом 5.5.12(8) пункта 5 Положения о Федеральной службе </w:t>
      </w:r>
      <w:r>
        <w:rPr>
          <w:sz w:val="28"/>
        </w:rPr>
        <w:br/>
      </w:r>
      <w:r>
        <w:rPr>
          <w:sz w:val="28"/>
        </w:rPr>
        <w:t xml:space="preserve">по надзору </w:t>
      </w:r>
      <w:r>
        <w:rPr>
          <w:sz w:val="28"/>
        </w:rPr>
        <w:t xml:space="preserve">в сфере транспорта, утвержденного постановлением </w:t>
      </w:r>
      <w:r>
        <w:rPr>
          <w:sz w:val="28"/>
        </w:rPr>
        <w:br/>
      </w:r>
      <w:r>
        <w:rPr>
          <w:sz w:val="28"/>
        </w:rPr>
        <w:t xml:space="preserve">Правительства </w:t>
      </w:r>
      <w:r>
        <w:rPr>
          <w:sz w:val="28"/>
        </w:rPr>
        <w:t xml:space="preserve">Российской Федераци</w:t>
      </w:r>
      <w:r>
        <w:rPr>
          <w:sz w:val="28"/>
        </w:rPr>
        <w:t xml:space="preserve">и от 30 июля 2004 г. № 398, </w:t>
      </w:r>
      <w:r>
        <w:rPr>
          <w:sz w:val="28"/>
        </w:rPr>
        <w:br/>
        <w:t xml:space="preserve">п р и к а з ы в а ю:</w:t>
      </w:r>
      <w:r>
        <w:t xml:space="preserve"> </w:t>
      </w:r>
      <w:r/>
    </w:p>
    <w:p>
      <w:pPr>
        <w:pStyle w:val="895"/>
        <w:ind w:firstLine="539"/>
        <w:jc w:val="both"/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ind w:firstLine="708"/>
        <w:jc w:val="both"/>
        <w:spacing w:after="0" w:line="240" w:lineRule="auto"/>
        <w:widowControl w:val="off"/>
        <w:rPr>
          <w:rFonts w:ascii="Times New Roman" w:hAnsi="Times New Roman" w:cs="Times New Roman" w:eastAsiaTheme="minorEastAsia"/>
          <w:sz w:val="28"/>
          <w:lang w:eastAsia="ru-RU"/>
        </w:rPr>
      </w:pPr>
      <w:r/>
      <w:bookmarkStart w:id="1" w:name="undefined"/>
      <w:r/>
      <w:bookmarkEnd w:id="1"/>
      <w:r>
        <w:rPr>
          <w:rFonts w:ascii="Times New Roman" w:hAnsi="Times New Roman" w:cs="Times New Roman" w:eastAsiaTheme="minorEastAsia"/>
          <w:sz w:val="28"/>
          <w:lang w:eastAsia="ru-RU"/>
        </w:rPr>
        <w:t xml:space="preserve">1. Установить, что отчетность об осуществлении переданных полномочий </w:t>
      </w:r>
      <w:r>
        <w:rPr>
          <w:rFonts w:ascii="Times New Roman" w:hAnsi="Times New Roman" w:cs="Times New Roman" w:eastAsiaTheme="minorEastAsia"/>
          <w:sz w:val="28"/>
          <w:lang w:eastAsia="ru-RU"/>
        </w:rPr>
        <w:br/>
      </w:r>
      <w:r>
        <w:rPr>
          <w:rFonts w:ascii="Times New Roman" w:hAnsi="Times New Roman" w:cs="Times New Roman" w:eastAsiaTheme="minorEastAsia"/>
          <w:sz w:val="28"/>
          <w:lang w:eastAsia="ru-RU"/>
        </w:rPr>
        <w:t xml:space="preserve">по федеральному государственному контролю (надзору) за соблюдением правил технической эксплуатации внеуличного транспорта и правил пользования внеуличным транспортом должна содержать:</w:t>
      </w:r>
      <w:r>
        <w:rPr>
          <w:rFonts w:ascii="Times New Roman" w:hAnsi="Times New Roman" w:cs="Times New Roman" w:eastAsiaTheme="minorEastAsia"/>
          <w:sz w:val="28"/>
          <w:lang w:eastAsia="ru-RU"/>
        </w:rPr>
      </w:r>
      <w:r>
        <w:rPr>
          <w:rFonts w:ascii="Times New Roman" w:hAnsi="Times New Roman" w:cs="Times New Roman" w:eastAsiaTheme="minorEastAsia"/>
          <w:sz w:val="28"/>
          <w:lang w:eastAsia="ru-RU"/>
        </w:rPr>
      </w:r>
    </w:p>
    <w:p>
      <w:pPr>
        <w:ind w:firstLine="708"/>
        <w:jc w:val="both"/>
        <w:spacing w:after="0" w:line="240" w:lineRule="auto"/>
        <w:widowControl w:val="off"/>
        <w:rPr>
          <w:rFonts w:ascii="Times New Roman" w:hAnsi="Times New Roman" w:cs="Times New Roman" w:eastAsiaTheme="minorEastAsia"/>
          <w:sz w:val="28"/>
          <w:lang w:eastAsia="ru-RU"/>
        </w:rPr>
      </w:pPr>
      <w:r>
        <w:rPr>
          <w:rFonts w:ascii="Times New Roman" w:hAnsi="Times New Roman" w:cs="Times New Roman" w:eastAsiaTheme="minorEastAsia"/>
          <w:sz w:val="28"/>
          <w:lang w:eastAsia="ru-RU"/>
        </w:rPr>
        <w:t xml:space="preserve">информацию об общей характеристике объекта надзора;</w:t>
      </w:r>
      <w:r>
        <w:rPr>
          <w:rFonts w:ascii="Times New Roman" w:hAnsi="Times New Roman" w:cs="Times New Roman" w:eastAsiaTheme="minorEastAsia"/>
          <w:sz w:val="28"/>
          <w:lang w:eastAsia="ru-RU"/>
        </w:rPr>
      </w:r>
      <w:r>
        <w:rPr>
          <w:rFonts w:ascii="Times New Roman" w:hAnsi="Times New Roman" w:cs="Times New Roman" w:eastAsiaTheme="minorEastAsia"/>
          <w:sz w:val="28"/>
          <w:lang w:eastAsia="ru-RU"/>
        </w:rPr>
      </w:r>
    </w:p>
    <w:p>
      <w:pPr>
        <w:ind w:firstLine="708"/>
        <w:jc w:val="both"/>
        <w:spacing w:after="0" w:line="240" w:lineRule="auto"/>
        <w:widowControl w:val="off"/>
        <w:rPr>
          <w:rFonts w:ascii="Times New Roman" w:hAnsi="Times New Roman" w:cs="Times New Roman" w:eastAsiaTheme="minorEastAsia"/>
          <w:sz w:val="28"/>
          <w:lang w:eastAsia="ru-RU"/>
        </w:rPr>
      </w:pPr>
      <w:r>
        <w:rPr>
          <w:rFonts w:ascii="Times New Roman" w:hAnsi="Times New Roman" w:cs="Times New Roman" w:eastAsiaTheme="minorEastAsia"/>
          <w:sz w:val="28"/>
          <w:lang w:eastAsia="ru-RU"/>
        </w:rPr>
        <w:t xml:space="preserve">информацию о нарушен</w:t>
      </w:r>
      <w:r>
        <w:rPr>
          <w:rFonts w:ascii="Times New Roman" w:hAnsi="Times New Roman" w:cs="Times New Roman" w:eastAsiaTheme="minorEastAsia"/>
          <w:sz w:val="28"/>
          <w:lang w:eastAsia="ru-RU"/>
        </w:rPr>
        <w:t xml:space="preserve">иях безопасности движения;</w:t>
      </w:r>
      <w:r>
        <w:rPr>
          <w:rFonts w:ascii="Times New Roman" w:hAnsi="Times New Roman" w:cs="Times New Roman" w:eastAsiaTheme="minorEastAsia"/>
          <w:sz w:val="28"/>
          <w:lang w:eastAsia="ru-RU"/>
        </w:rPr>
      </w:r>
      <w:r>
        <w:rPr>
          <w:rFonts w:ascii="Times New Roman" w:hAnsi="Times New Roman" w:cs="Times New Roman" w:eastAsiaTheme="minorEastAsia"/>
          <w:sz w:val="28"/>
          <w:lang w:eastAsia="ru-RU"/>
        </w:rPr>
      </w:r>
    </w:p>
    <w:p>
      <w:pPr>
        <w:ind w:firstLine="708"/>
        <w:jc w:val="both"/>
        <w:spacing w:after="0" w:line="240" w:lineRule="auto"/>
        <w:widowControl w:val="off"/>
        <w:rPr>
          <w:rFonts w:ascii="Times New Roman" w:hAnsi="Times New Roman" w:cs="Times New Roman" w:eastAsiaTheme="minorEastAsia"/>
          <w:sz w:val="28"/>
          <w:lang w:eastAsia="ru-RU"/>
        </w:rPr>
      </w:pPr>
      <w:r>
        <w:rPr>
          <w:rFonts w:ascii="Times New Roman" w:hAnsi="Times New Roman" w:cs="Times New Roman" w:eastAsiaTheme="minorEastAsia"/>
          <w:sz w:val="28"/>
          <w:lang w:eastAsia="ru-RU"/>
        </w:rPr>
        <w:t xml:space="preserve">информацию о событиях, которые могут привести к нарушениям безопасности движения;</w:t>
      </w:r>
      <w:r>
        <w:rPr>
          <w:rFonts w:ascii="Times New Roman" w:hAnsi="Times New Roman" w:cs="Times New Roman" w:eastAsiaTheme="minorEastAsia"/>
          <w:sz w:val="28"/>
          <w:lang w:eastAsia="ru-RU"/>
        </w:rPr>
      </w:r>
      <w:r>
        <w:rPr>
          <w:rFonts w:ascii="Times New Roman" w:hAnsi="Times New Roman" w:cs="Times New Roman" w:eastAsiaTheme="minorEastAsia"/>
          <w:sz w:val="28"/>
          <w:lang w:eastAsia="ru-RU"/>
        </w:rPr>
      </w:r>
    </w:p>
    <w:p>
      <w:pPr>
        <w:ind w:firstLine="708"/>
        <w:jc w:val="both"/>
        <w:spacing w:after="0" w:line="240" w:lineRule="auto"/>
        <w:widowControl w:val="off"/>
        <w:rPr>
          <w:rFonts w:ascii="Times New Roman" w:hAnsi="Times New Roman" w:cs="Times New Roman" w:eastAsiaTheme="minorEastAsia"/>
          <w:sz w:val="28"/>
          <w:lang w:eastAsia="ru-RU"/>
        </w:rPr>
      </w:pPr>
      <w:r>
        <w:rPr>
          <w:rFonts w:ascii="Times New Roman" w:hAnsi="Times New Roman" w:cs="Times New Roman" w:eastAsiaTheme="minorEastAsia"/>
          <w:sz w:val="28"/>
          <w:lang w:eastAsia="ru-RU"/>
        </w:rPr>
        <w:t xml:space="preserve">информацию о соблюдении правил пользования внеуличным транспортом;</w:t>
      </w:r>
      <w:r>
        <w:rPr>
          <w:rFonts w:ascii="Times New Roman" w:hAnsi="Times New Roman" w:cs="Times New Roman" w:eastAsiaTheme="minorEastAsia"/>
          <w:sz w:val="28"/>
          <w:lang w:eastAsia="ru-RU"/>
        </w:rPr>
      </w:r>
      <w:r>
        <w:rPr>
          <w:rFonts w:ascii="Times New Roman" w:hAnsi="Times New Roman" w:cs="Times New Roman" w:eastAsiaTheme="minorEastAsia"/>
          <w:sz w:val="28"/>
          <w:lang w:eastAsia="ru-RU"/>
        </w:rPr>
      </w:r>
    </w:p>
    <w:p>
      <w:pPr>
        <w:ind w:firstLine="708"/>
        <w:jc w:val="both"/>
        <w:spacing w:after="0" w:line="240" w:lineRule="auto"/>
        <w:widowControl w:val="off"/>
        <w:rPr>
          <w:rFonts w:ascii="Times New Roman" w:hAnsi="Times New Roman" w:cs="Times New Roman" w:eastAsiaTheme="minorEastAsia"/>
          <w:sz w:val="28"/>
          <w:lang w:eastAsia="ru-RU"/>
        </w:rPr>
      </w:pPr>
      <w:r>
        <w:rPr>
          <w:rFonts w:ascii="Times New Roman" w:hAnsi="Times New Roman" w:cs="Times New Roman" w:eastAsiaTheme="minorEastAsia"/>
          <w:sz w:val="28"/>
          <w:lang w:eastAsia="ru-RU"/>
        </w:rPr>
        <w:t xml:space="preserve">информацию о доступности для пассажиров из числа инвалидов объектов инфраструкту</w:t>
      </w:r>
      <w:r>
        <w:rPr>
          <w:rFonts w:ascii="Times New Roman" w:hAnsi="Times New Roman" w:cs="Times New Roman" w:eastAsiaTheme="minorEastAsia"/>
          <w:sz w:val="28"/>
          <w:lang w:eastAsia="ru-RU"/>
        </w:rPr>
        <w:t xml:space="preserve">ры и подвижного состава внеуличного транспорта;</w:t>
      </w:r>
      <w:r>
        <w:rPr>
          <w:rFonts w:ascii="Times New Roman" w:hAnsi="Times New Roman" w:cs="Times New Roman" w:eastAsiaTheme="minorEastAsia"/>
          <w:sz w:val="28"/>
          <w:lang w:eastAsia="ru-RU"/>
        </w:rPr>
      </w:r>
      <w:r>
        <w:rPr>
          <w:rFonts w:ascii="Times New Roman" w:hAnsi="Times New Roman" w:cs="Times New Roman" w:eastAsiaTheme="minorEastAsia"/>
          <w:sz w:val="28"/>
          <w:lang w:eastAsia="ru-RU"/>
        </w:rPr>
      </w:r>
    </w:p>
    <w:p>
      <w:pPr>
        <w:ind w:firstLine="708"/>
        <w:jc w:val="both"/>
        <w:spacing w:after="0" w:line="240" w:lineRule="auto"/>
        <w:widowControl w:val="off"/>
        <w:rPr>
          <w:rFonts w:ascii="Times New Roman" w:hAnsi="Times New Roman" w:cs="Times New Roman" w:eastAsiaTheme="minorEastAsia"/>
          <w:sz w:val="28"/>
          <w:lang w:eastAsia="ru-RU"/>
        </w:rPr>
      </w:pPr>
      <w:r>
        <w:rPr>
          <w:rFonts w:ascii="Times New Roman" w:hAnsi="Times New Roman" w:cs="Times New Roman" w:eastAsiaTheme="minorEastAsia"/>
          <w:sz w:val="28"/>
          <w:lang w:eastAsia="ru-RU"/>
        </w:rPr>
        <w:t xml:space="preserve">информацию о проведении контрольных (надзорных) мероприятий</w:t>
      </w:r>
      <w:r>
        <w:t xml:space="preserve"> </w:t>
      </w:r>
      <w:r>
        <w:br/>
      </w:r>
      <w:r>
        <w:rPr>
          <w:rFonts w:ascii="Times New Roman" w:hAnsi="Times New Roman" w:cs="Times New Roman" w:eastAsiaTheme="minorEastAsia"/>
          <w:sz w:val="28"/>
          <w:lang w:eastAsia="ru-RU"/>
        </w:rPr>
        <w:t xml:space="preserve">с взаимодействием с контролируемым лицом;</w:t>
      </w:r>
      <w:r>
        <w:rPr>
          <w:rFonts w:ascii="Times New Roman" w:hAnsi="Times New Roman" w:cs="Times New Roman" w:eastAsiaTheme="minorEastAsia"/>
          <w:sz w:val="28"/>
          <w:lang w:eastAsia="ru-RU"/>
        </w:rPr>
      </w:r>
      <w:r>
        <w:rPr>
          <w:rFonts w:ascii="Times New Roman" w:hAnsi="Times New Roman" w:cs="Times New Roman" w:eastAsiaTheme="minorEastAsia"/>
          <w:sz w:val="28"/>
          <w:lang w:eastAsia="ru-RU"/>
        </w:rPr>
      </w:r>
    </w:p>
    <w:p>
      <w:pPr>
        <w:ind w:firstLine="708"/>
        <w:jc w:val="both"/>
        <w:spacing w:after="0" w:line="240" w:lineRule="auto"/>
        <w:widowControl w:val="off"/>
        <w:rPr>
          <w:rFonts w:ascii="Times New Roman" w:hAnsi="Times New Roman" w:cs="Times New Roman" w:eastAsiaTheme="minorEastAsia"/>
          <w:sz w:val="28"/>
          <w:szCs w:val="28"/>
          <w:lang w:eastAsia="ru-RU"/>
        </w:rPr>
      </w:pPr>
      <w:r>
        <w:rPr>
          <w:rFonts w:ascii="Times New Roman" w:hAnsi="Times New Roman" w:cs="Times New Roman" w:eastAsiaTheme="minorEastAsia"/>
          <w:sz w:val="28"/>
          <w:lang w:eastAsia="ru-RU"/>
        </w:rPr>
        <w:t xml:space="preserve">информацию о проведении контрольных (надзорных) мероприятий </w:t>
      </w:r>
      <w:r>
        <w:rPr>
          <w:rFonts w:ascii="Times New Roman" w:hAnsi="Times New Roman" w:cs="Times New Roman" w:eastAsiaTheme="minorEastAsia"/>
          <w:sz w:val="28"/>
          <w:lang w:eastAsia="ru-RU"/>
        </w:rPr>
        <w:br/>
        <w:t xml:space="preserve">без взаимодействия с контролируемым лицом; </w:t>
      </w:r>
      <w:r>
        <w:rPr>
          <w:rFonts w:ascii="Times New Roman" w:hAnsi="Times New Roman" w:cs="Times New Roman" w:eastAsiaTheme="minorEastAsia"/>
          <w:sz w:val="28"/>
          <w:szCs w:val="28"/>
          <w:lang w:eastAsia="ru-RU"/>
        </w:rPr>
      </w:r>
      <w:r>
        <w:rPr>
          <w:rFonts w:ascii="Times New Roman" w:hAnsi="Times New Roman" w:cs="Times New Roman" w:eastAsiaTheme="minorEastAsia"/>
          <w:sz w:val="28"/>
          <w:szCs w:val="28"/>
          <w:lang w:eastAsia="ru-RU"/>
        </w:rPr>
      </w:r>
    </w:p>
    <w:p>
      <w:pPr>
        <w:ind w:firstLine="708"/>
        <w:jc w:val="both"/>
        <w:spacing w:after="0" w:line="240" w:lineRule="auto"/>
        <w:widowControl w:val="off"/>
        <w:rPr>
          <w:rFonts w:ascii="Times New Roman" w:hAnsi="Times New Roman" w:cs="Times New Roman" w:eastAsiaTheme="minorEastAsia"/>
          <w:sz w:val="28"/>
          <w:szCs w:val="28"/>
          <w:lang w:eastAsia="ru-RU"/>
        </w:rPr>
      </w:pPr>
      <w:r>
        <w:rPr>
          <w:rFonts w:ascii="Times New Roman" w:hAnsi="Times New Roman" w:cs="Times New Roman" w:eastAsiaTheme="minorEastAsia"/>
          <w:sz w:val="28"/>
          <w:lang w:eastAsia="ru-RU"/>
        </w:rPr>
        <w:t xml:space="preserve">информацию о проведении профилактических мероприятий;</w:t>
      </w:r>
      <w:r>
        <w:rPr>
          <w:rFonts w:ascii="Times New Roman" w:hAnsi="Times New Roman" w:cs="Times New Roman" w:eastAsiaTheme="minorEastAsia"/>
          <w:sz w:val="28"/>
          <w:szCs w:val="28"/>
          <w:lang w:eastAsia="ru-RU"/>
        </w:rPr>
      </w:r>
      <w:r>
        <w:rPr>
          <w:rFonts w:ascii="Times New Roman" w:hAnsi="Times New Roman" w:cs="Times New Roman" w:eastAsiaTheme="minorEastAsia"/>
          <w:sz w:val="28"/>
          <w:szCs w:val="28"/>
          <w:lang w:eastAsia="ru-RU"/>
        </w:rPr>
      </w:r>
    </w:p>
    <w:p>
      <w:pPr>
        <w:ind w:firstLine="708"/>
        <w:jc w:val="both"/>
        <w:spacing w:after="0" w:line="240" w:lineRule="auto"/>
        <w:widowControl w:val="off"/>
        <w:rPr>
          <w:rFonts w:ascii="Times New Roman" w:hAnsi="Times New Roman" w:cs="Times New Roman" w:eastAsiaTheme="minorEastAsia"/>
          <w:sz w:val="28"/>
          <w:lang w:eastAsia="ru-RU"/>
        </w:rPr>
      </w:pPr>
      <w:r>
        <w:rPr>
          <w:rFonts w:ascii="Times New Roman" w:hAnsi="Times New Roman" w:cs="Times New Roman" w:eastAsiaTheme="minorEastAsia"/>
          <w:sz w:val="28"/>
          <w:lang w:eastAsia="ru-RU"/>
        </w:rPr>
        <w:t xml:space="preserve">информацию об оценке эффективности и качества осуществления переданных полномочий.</w:t>
      </w:r>
      <w:r>
        <w:rPr>
          <w:rFonts w:ascii="Times New Roman" w:hAnsi="Times New Roman" w:cs="Times New Roman" w:eastAsiaTheme="minorEastAsia"/>
          <w:sz w:val="28"/>
          <w:lang w:eastAsia="ru-RU"/>
        </w:rPr>
      </w:r>
      <w:r>
        <w:rPr>
          <w:rFonts w:ascii="Times New Roman" w:hAnsi="Times New Roman" w:cs="Times New Roman" w:eastAsiaTheme="minorEastAsia"/>
          <w:sz w:val="28"/>
          <w:lang w:eastAsia="ru-RU"/>
        </w:rPr>
      </w:r>
    </w:p>
    <w:p>
      <w:pPr>
        <w:ind w:firstLine="708"/>
        <w:jc w:val="both"/>
        <w:spacing w:after="0" w:line="240" w:lineRule="auto"/>
        <w:widowControl w:val="off"/>
        <w:rPr>
          <w:rFonts w:ascii="Times New Roman" w:hAnsi="Times New Roman" w:cs="Times New Roman" w:eastAsiaTheme="minorEastAsia"/>
          <w:sz w:val="28"/>
          <w:lang w:eastAsia="ru-RU"/>
        </w:rPr>
      </w:pPr>
      <w:r>
        <w:rPr>
          <w:rFonts w:ascii="Times New Roman" w:hAnsi="Times New Roman" w:cs="Times New Roman" w:eastAsiaTheme="minorEastAsia"/>
          <w:sz w:val="28"/>
          <w:lang w:eastAsia="ru-RU"/>
        </w:rPr>
        <w:t xml:space="preserve">2. Установить, что отчетность, указанная в пункте 1 настоящего приказа, представляется высшим должностным лицом субъект</w:t>
      </w:r>
      <w:r>
        <w:rPr>
          <w:rFonts w:ascii="Times New Roman" w:hAnsi="Times New Roman" w:cs="Times New Roman" w:eastAsiaTheme="minorEastAsia"/>
          <w:sz w:val="28"/>
          <w:lang w:eastAsia="ru-RU"/>
        </w:rPr>
        <w:t xml:space="preserve">а Российской Федерации </w:t>
      </w:r>
      <w:r>
        <w:rPr>
          <w:rFonts w:ascii="Times New Roman" w:hAnsi="Times New Roman" w:cs="Times New Roman" w:eastAsiaTheme="minorEastAsia"/>
          <w:sz w:val="28"/>
          <w:lang w:eastAsia="ru-RU"/>
        </w:rPr>
        <w:br/>
        <w:t xml:space="preserve">в Федеральную службу по надзору в сфере транспорта:</w:t>
      </w:r>
      <w:r>
        <w:rPr>
          <w:rFonts w:ascii="Times New Roman" w:hAnsi="Times New Roman" w:cs="Times New Roman" w:eastAsiaTheme="minorEastAsia"/>
          <w:sz w:val="28"/>
          <w:lang w:eastAsia="ru-RU"/>
        </w:rPr>
      </w:r>
      <w:r>
        <w:rPr>
          <w:rFonts w:ascii="Times New Roman" w:hAnsi="Times New Roman" w:cs="Times New Roman" w:eastAsiaTheme="minorEastAsia"/>
          <w:sz w:val="28"/>
          <w:lang w:eastAsia="ru-RU"/>
        </w:rPr>
      </w:r>
    </w:p>
    <w:p>
      <w:pPr>
        <w:ind w:firstLine="708"/>
        <w:jc w:val="both"/>
        <w:spacing w:after="0" w:line="240" w:lineRule="auto"/>
        <w:widowControl w:val="off"/>
        <w:rPr>
          <w:rFonts w:ascii="Times New Roman" w:hAnsi="Times New Roman" w:cs="Times New Roman" w:eastAsiaTheme="minorEastAsia"/>
          <w:sz w:val="28"/>
          <w:lang w:eastAsia="ru-RU"/>
        </w:rPr>
      </w:pPr>
      <w:r>
        <w:rPr>
          <w:rFonts w:ascii="Times New Roman" w:hAnsi="Times New Roman" w:cs="Times New Roman" w:eastAsiaTheme="minorEastAsia"/>
          <w:sz w:val="28"/>
          <w:lang w:eastAsia="ru-RU"/>
        </w:rPr>
        <w:t xml:space="preserve">по формам согласно приложениям №№ 1 </w:t>
      </w:r>
      <w:r>
        <w:rPr>
          <w:rFonts w:ascii="Andale Mono" w:hAnsi="Andale Mono" w:eastAsia="Andale Mono" w:cs="Andale Mono"/>
          <w:sz w:val="28"/>
          <w:lang w:eastAsia="ru-RU"/>
        </w:rPr>
        <w:t xml:space="preserve">-</w:t>
      </w:r>
      <w:r>
        <w:rPr>
          <w:rFonts w:ascii="Times New Roman" w:hAnsi="Times New Roman" w:cs="Times New Roman" w:eastAsiaTheme="minorEastAsia"/>
          <w:sz w:val="28"/>
          <w:lang w:eastAsia="ru-RU"/>
        </w:rPr>
        <w:t xml:space="preserve"> 4 к настоящему приказу;</w:t>
      </w:r>
      <w:r>
        <w:rPr>
          <w:rFonts w:ascii="Times New Roman" w:hAnsi="Times New Roman" w:cs="Times New Roman" w:eastAsiaTheme="minorEastAsia"/>
          <w:sz w:val="28"/>
          <w:lang w:eastAsia="ru-RU"/>
        </w:rPr>
      </w:r>
      <w:r>
        <w:rPr>
          <w:rFonts w:ascii="Times New Roman" w:hAnsi="Times New Roman" w:cs="Times New Roman" w:eastAsiaTheme="minorEastAsia"/>
          <w:sz w:val="28"/>
          <w:lang w:eastAsia="ru-RU"/>
        </w:rPr>
      </w:r>
    </w:p>
    <w:p>
      <w:pPr>
        <w:ind w:firstLine="708"/>
        <w:jc w:val="both"/>
        <w:spacing w:after="0" w:line="240" w:lineRule="auto"/>
        <w:widowControl w:val="off"/>
        <w:rPr>
          <w:rFonts w:ascii="Times New Roman" w:hAnsi="Times New Roman" w:cs="Times New Roman" w:eastAsiaTheme="minorEastAsia"/>
          <w:sz w:val="28"/>
          <w:lang w:eastAsia="ru-RU"/>
        </w:rPr>
      </w:pPr>
      <w:r>
        <w:rPr>
          <w:rFonts w:ascii="Times New Roman" w:hAnsi="Times New Roman" w:cs="Times New Roman" w:eastAsiaTheme="minorEastAsia"/>
          <w:sz w:val="28"/>
          <w:lang w:eastAsia="ru-RU"/>
        </w:rPr>
        <w:t xml:space="preserve">ежеквартально, не позднее 15 рабочих дней после окончания отчетного квартала, со дня вступления в силу настоящего прик</w:t>
      </w:r>
      <w:r>
        <w:rPr>
          <w:rFonts w:ascii="Times New Roman" w:hAnsi="Times New Roman" w:cs="Times New Roman" w:eastAsiaTheme="minorEastAsia"/>
          <w:sz w:val="28"/>
          <w:lang w:eastAsia="ru-RU"/>
        </w:rPr>
        <w:t xml:space="preserve">аза;</w:t>
      </w:r>
      <w:r>
        <w:rPr>
          <w:rFonts w:ascii="Times New Roman" w:hAnsi="Times New Roman" w:cs="Times New Roman" w:eastAsiaTheme="minorEastAsia"/>
          <w:sz w:val="28"/>
          <w:lang w:eastAsia="ru-RU"/>
        </w:rPr>
      </w:r>
      <w:r>
        <w:rPr>
          <w:rFonts w:ascii="Times New Roman" w:hAnsi="Times New Roman" w:cs="Times New Roman" w:eastAsiaTheme="minorEastAsia"/>
          <w:sz w:val="28"/>
          <w:lang w:eastAsia="ru-RU"/>
        </w:rPr>
      </w:r>
    </w:p>
    <w:p>
      <w:pPr>
        <w:ind w:firstLine="708"/>
        <w:jc w:val="both"/>
        <w:spacing w:after="0" w:line="240" w:lineRule="auto"/>
        <w:widowControl w:val="off"/>
        <w:rPr>
          <w:rFonts w:ascii="Times New Roman" w:hAnsi="Times New Roman" w:cs="Times New Roman" w:eastAsiaTheme="minorEastAsia"/>
          <w:sz w:val="28"/>
          <w:lang w:eastAsia="ru-RU"/>
        </w:rPr>
      </w:pPr>
      <w:r>
        <w:rPr>
          <w:rFonts w:ascii="Times New Roman" w:hAnsi="Times New Roman" w:cs="Times New Roman" w:eastAsiaTheme="minorEastAsia"/>
          <w:sz w:val="28"/>
          <w:lang w:eastAsia="ru-RU"/>
        </w:rPr>
        <w:t xml:space="preserve">на бумажном носителе или в электронной форме, подписанной усиленной квалифицированной электронной подписью.</w:t>
      </w:r>
      <w:r>
        <w:rPr>
          <w:rFonts w:ascii="Times New Roman" w:hAnsi="Times New Roman" w:cs="Times New Roman" w:eastAsiaTheme="minorEastAsia"/>
          <w:sz w:val="28"/>
          <w:lang w:eastAsia="ru-RU"/>
        </w:rPr>
      </w:r>
      <w:r>
        <w:rPr>
          <w:rFonts w:ascii="Times New Roman" w:hAnsi="Times New Roman" w:cs="Times New Roman" w:eastAsiaTheme="minorEastAsia"/>
          <w:sz w:val="28"/>
          <w:lang w:eastAsia="ru-RU"/>
        </w:rPr>
      </w:r>
    </w:p>
    <w:p>
      <w:pPr>
        <w:ind w:firstLine="708"/>
        <w:jc w:val="both"/>
        <w:spacing w:after="0" w:line="240" w:lineRule="auto"/>
        <w:widowControl w:val="off"/>
        <w:rPr>
          <w:rFonts w:ascii="Times New Roman" w:hAnsi="Times New Roman" w:cs="Times New Roman" w:eastAsiaTheme="minorEastAsia"/>
          <w:sz w:val="28"/>
          <w:lang w:eastAsia="ru-RU"/>
        </w:rPr>
      </w:pPr>
      <w:r>
        <w:rPr>
          <w:rFonts w:ascii="Times New Roman" w:hAnsi="Times New Roman" w:cs="Times New Roman" w:eastAsiaTheme="minorEastAsia"/>
          <w:sz w:val="28"/>
          <w:lang w:eastAsia="ru-RU"/>
        </w:rPr>
        <w:t xml:space="preserve">3. Приказ Федеральной службы по надзору в сфере транспорта </w:t>
      </w:r>
      <w:r>
        <w:rPr>
          <w:rFonts w:ascii="Times New Roman" w:hAnsi="Times New Roman" w:cs="Times New Roman" w:eastAsiaTheme="minorEastAsia"/>
          <w:sz w:val="28"/>
          <w:lang w:eastAsia="ru-RU"/>
        </w:rPr>
        <w:br/>
        <w:t xml:space="preserve">от 13 сентября 2023 г. № ВБ-298фс «Об установлении содержания и форм, </w:t>
      </w:r>
      <w:r>
        <w:rPr>
          <w:rFonts w:ascii="Times New Roman" w:hAnsi="Times New Roman" w:cs="Times New Roman" w:eastAsiaTheme="minorEastAsia"/>
          <w:sz w:val="28"/>
          <w:lang w:eastAsia="ru-RU"/>
        </w:rPr>
        <w:br/>
        <w:t xml:space="preserve">а также срок</w:t>
      </w:r>
      <w:r>
        <w:rPr>
          <w:rFonts w:ascii="Times New Roman" w:hAnsi="Times New Roman" w:cs="Times New Roman" w:eastAsiaTheme="minorEastAsia"/>
          <w:sz w:val="28"/>
          <w:lang w:eastAsia="ru-RU"/>
        </w:rPr>
        <w:t xml:space="preserve">ов представления высшим должностным лицом субъекта Российской Федерации (руководителем высшего исполнительного органа государственной власти субъекта Российской Федерации) отчетности </w:t>
      </w:r>
      <w:r>
        <w:rPr>
          <w:rFonts w:ascii="Times New Roman" w:hAnsi="Times New Roman" w:cs="Times New Roman" w:eastAsiaTheme="minorEastAsia"/>
          <w:sz w:val="28"/>
          <w:lang w:eastAsia="ru-RU"/>
        </w:rPr>
        <w:t xml:space="preserve">об осуществлении переданных полномочий по федеральному государственному </w:t>
      </w:r>
      <w:r>
        <w:rPr>
          <w:rFonts w:ascii="Times New Roman" w:hAnsi="Times New Roman" w:cs="Times New Roman" w:eastAsiaTheme="minorEastAsia"/>
          <w:sz w:val="28"/>
          <w:lang w:eastAsia="ru-RU"/>
        </w:rPr>
        <w:t xml:space="preserve">контролю за соблюдением правил технической эксплуатации внеуличного транспорта и правил пользования внеуличным транспортом» (зарегистрирован Министерством юстиции Российской Федерации 7 декабря 2023 г., регистрационный № 76314) признать утратившим силу.</w:t>
      </w:r>
      <w:r>
        <w:rPr>
          <w:rFonts w:ascii="Times New Roman" w:hAnsi="Times New Roman" w:cs="Times New Roman" w:eastAsiaTheme="minorEastAsia"/>
          <w:sz w:val="28"/>
          <w:lang w:eastAsia="ru-RU"/>
        </w:rPr>
      </w:r>
      <w:r>
        <w:rPr>
          <w:rFonts w:ascii="Times New Roman" w:hAnsi="Times New Roman" w:cs="Times New Roman" w:eastAsiaTheme="minorEastAsia"/>
          <w:sz w:val="28"/>
          <w:lang w:eastAsia="ru-RU"/>
        </w:rPr>
      </w:r>
    </w:p>
    <w:p>
      <w:pPr>
        <w:rPr>
          <w:rFonts w:ascii="Times New Roman" w:hAnsi="Times New Roman" w:cs="Times New Roman" w:eastAsiaTheme="minorEastAsia"/>
          <w:sz w:val="28"/>
          <w:lang w:eastAsia="ru-RU"/>
        </w:rPr>
      </w:pPr>
      <w:r>
        <w:rPr>
          <w:rFonts w:ascii="Times New Roman" w:hAnsi="Times New Roman" w:cs="Times New Roman" w:eastAsiaTheme="minorEastAsia"/>
          <w:sz w:val="28"/>
          <w:lang w:eastAsia="ru-RU"/>
        </w:rPr>
      </w:r>
      <w:r>
        <w:rPr>
          <w:rFonts w:ascii="Times New Roman" w:hAnsi="Times New Roman" w:cs="Times New Roman" w:eastAsiaTheme="minorEastAsia"/>
          <w:sz w:val="28"/>
          <w:lang w:eastAsia="ru-RU"/>
        </w:rPr>
      </w:r>
      <w:r>
        <w:rPr>
          <w:rFonts w:ascii="Times New Roman" w:hAnsi="Times New Roman" w:cs="Times New Roman" w:eastAsiaTheme="minorEastAsia"/>
          <w:sz w:val="28"/>
          <w:lang w:eastAsia="ru-RU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                                                                                                    В.Б. </w:t>
      </w:r>
      <w:r>
        <w:rPr>
          <w:rFonts w:ascii="Times New Roman" w:hAnsi="Times New Roman" w:cs="Times New Roman"/>
          <w:sz w:val="28"/>
          <w:szCs w:val="28"/>
        </w:rPr>
        <w:t xml:space="preserve">Гулин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  <w:sectPr>
          <w:headerReference w:type="default" r:id="rId8"/>
          <w:headerReference w:type="first" r:id="rId9"/>
          <w:footerReference w:type="first" r:id="rId10"/>
          <w:footnotePr/>
          <w:endnotePr/>
          <w:type w:val="nextPage"/>
          <w:pgSz w:w="11906" w:h="16838" w:orient="portrait"/>
          <w:pgMar w:top="1134" w:right="709" w:bottom="1134" w:left="1134" w:header="709" w:footer="709" w:gutter="0"/>
          <w:cols w:num="1" w:sep="0" w:space="708" w:equalWidth="1"/>
          <w:docGrid w:linePitch="360"/>
          <w:titlePg/>
        </w:sect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5"/>
        <w:jc w:val="right"/>
        <w:outlineLvl w:val="0"/>
      </w:pPr>
      <w:r>
        <w:t xml:space="preserve">Приложение № 1</w:t>
      </w:r>
      <w:r/>
      <w:r/>
    </w:p>
    <w:p>
      <w:pPr>
        <w:pStyle w:val="895"/>
        <w:jc w:val="right"/>
      </w:pPr>
      <w:r>
        <w:t xml:space="preserve">к приказу Федеральной службы</w:t>
      </w:r>
      <w:r/>
      <w:r/>
    </w:p>
    <w:p>
      <w:pPr>
        <w:pStyle w:val="895"/>
        <w:jc w:val="right"/>
      </w:pPr>
      <w:r>
        <w:t xml:space="preserve">по надзору в сфере транспорта</w:t>
      </w:r>
      <w:r/>
      <w:r/>
    </w:p>
    <w:p>
      <w:pPr>
        <w:pStyle w:val="895"/>
        <w:jc w:val="right"/>
      </w:pPr>
      <w:r>
        <w:t xml:space="preserve">от ____________ № ________</w:t>
      </w:r>
      <w:r/>
      <w:r/>
    </w:p>
    <w:p>
      <w:pPr>
        <w:pStyle w:val="895"/>
        <w:jc w:val="both"/>
      </w:pPr>
      <w:r/>
      <w:r/>
      <w:r/>
    </w:p>
    <w:p>
      <w:pPr>
        <w:pStyle w:val="895"/>
        <w:jc w:val="right"/>
      </w:pPr>
      <w:r>
        <w:t xml:space="preserve">(Форма)</w:t>
      </w:r>
      <w:r/>
      <w:r/>
    </w:p>
    <w:tbl>
      <w:tblPr>
        <w:tblW w:w="9921" w:type="dxa"/>
        <w:tblBorders>
          <w:insideH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275"/>
        <w:gridCol w:w="3685"/>
        <w:gridCol w:w="991"/>
        <w:gridCol w:w="993"/>
        <w:gridCol w:w="920"/>
        <w:gridCol w:w="72"/>
        <w:gridCol w:w="992"/>
        <w:gridCol w:w="992"/>
      </w:tblGrid>
      <w:tr>
        <w:tblPrEx/>
        <w:trPr/>
        <w:tc>
          <w:tcPr>
            <w:gridSpan w:val="8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9921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gridSpan w:val="8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(уполномоченный орган государственной власти субъекта Российской Федерации, осуществляющий переданные полномочия по федеральному государственному контролю (надзору) </w:t>
              <w:br/>
            </w:r>
            <w:r>
              <w:t xml:space="preserve">за соблюдением</w:t>
            </w:r>
            <w:r>
              <w:t xml:space="preserve"> правил технической эксплуатации метрополитена и правил пользования метрополитеном)</w:t>
            </w:r>
            <w:r/>
            <w:r/>
          </w:p>
        </w:tc>
      </w:tr>
      <w:tr>
        <w:tblPrEx/>
        <w:trPr/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ОТЧЕТ</w:t>
            </w:r>
            <w:r/>
            <w:r/>
          </w:p>
          <w:p>
            <w:pPr>
              <w:pStyle w:val="895"/>
              <w:jc w:val="center"/>
            </w:pPr>
            <w:r>
              <w:t xml:space="preserve">об осуществлении переданных полномочий по федеральному государственному контролю (надзору) за соблюдением правил технической эксплуатации метрополитена и правил пользования метрополитеном</w:t>
            </w:r>
            <w:r/>
            <w:r/>
          </w:p>
        </w:tc>
      </w:tr>
      <w:tr>
        <w:tblPrEx/>
        <w:trPr/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в __________________________________________</w:t>
            </w:r>
            <w:r/>
            <w:r/>
          </w:p>
          <w:p>
            <w:pPr>
              <w:pStyle w:val="895"/>
              <w:jc w:val="center"/>
            </w:pPr>
            <w:r>
              <w:t xml:space="preserve">(наименование субъекта Российской Федерации)</w:t>
            </w:r>
            <w:r/>
            <w:r/>
          </w:p>
          <w:p>
            <w:pPr>
              <w:pStyle w:val="895"/>
              <w:jc w:val="center"/>
            </w:pPr>
            <w:r>
              <w:t xml:space="preserve">за период ____________</w:t>
            </w:r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№ п/п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Основные показатели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Единицы измерений</w:t>
            </w:r>
            <w:r/>
            <w:r/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7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Метрополитен</w:t>
            </w:r>
            <w:r/>
            <w:r/>
          </w:p>
        </w:tc>
      </w:tr>
      <w:tr>
        <w:tblPrEx/>
        <w:trPr>
          <w:trHeight w:val="55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continue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vMerge w:val="continue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vMerge w:val="continue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Текущий </w:t>
            </w:r>
            <w:r/>
            <w:r/>
          </w:p>
          <w:p>
            <w:pPr>
              <w:pStyle w:val="895"/>
              <w:jc w:val="center"/>
            </w:pPr>
            <w:r>
              <w:t xml:space="preserve">месяц</w:t>
            </w:r>
            <w:r/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56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Нарастающим итогом</w:t>
            </w:r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continue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vMerge w:val="continue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vMerge w:val="continue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Год, предшествующий отчетному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Отчетный год</w:t>
            </w:r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Год, предшествующий отчетному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Отчетный год</w:t>
            </w:r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0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</w:t>
            </w:r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7</w:t>
            </w:r>
            <w:r/>
            <w:r/>
          </w:p>
        </w:tc>
      </w:tr>
      <w:tr>
        <w:tblPrEx/>
        <w:trPr/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1" w:type="dxa"/>
            <w:textDirection w:val="lrTb"/>
            <w:noWrap w:val="false"/>
          </w:tcPr>
          <w:p>
            <w:pPr>
              <w:pStyle w:val="895"/>
              <w:jc w:val="center"/>
              <w:outlineLvl w:val="1"/>
            </w:pPr>
            <w:r>
              <w:t xml:space="preserve">I. Информация об общей характеристике объекта надзора</w:t>
            </w:r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Эксплуатационная длина метрополитена в однопутном исчислении (сумма длин главных путей, станционных путей, соединительных ветвей и других путей)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км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станций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</w:t>
            </w:r>
            <w:r>
              <w:t xml:space="preserve">электродепо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перевезенных пассажиров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человек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Подвижной состав (инвентарного парка) для перевозки пассажиров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с просроченным сроком ремонта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свыше назначенного срока службы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Подвижной состав (инвентарного парка) специального назначения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с просроченным сроком ремонта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свыше назначенного срока службы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7.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Наличие договора обязательного страхования гражданской ответственности за причинение вреда потерпевшим в результате аварии на опасном объекте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да/нет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1" w:type="dxa"/>
            <w:textDirection w:val="lrTb"/>
            <w:noWrap w:val="false"/>
          </w:tcPr>
          <w:p>
            <w:pPr>
              <w:pStyle w:val="895"/>
              <w:jc w:val="center"/>
              <w:outlineLvl w:val="1"/>
            </w:pPr>
            <w:r>
              <w:t xml:space="preserve">II. Информация о нарушениях безопасности движения</w:t>
            </w:r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8.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чрезвычайных ситуаций техногенного характера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 в результате которых: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8.1.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погиб 1 и более человек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8.2.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причинен тяжкий вред здоровью 5 и более человек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8.3.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причинен вред здоровью более 50 человек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8.4.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поврежден подвижной состав внеуличного транспорта до степени, исключающей ремонтопригодность и дальнейшую эксплуатацию 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8.5.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перерыв движения подвижного состава хотя бы по одному из путей перегона (станции) составил более 2 часов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8.6.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повреждены объекты внеуличного транспорта до степени аварийного состояния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9.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аварий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 в результате которых: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9.1.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причинен тяжкий вред здоровью менее 5 человек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9.2.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причинен вред здоровью от 20 до 50 человек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9.3.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поврежден подвижной состав вне</w:t>
            </w:r>
            <w:r>
              <w:t xml:space="preserve">уличного транспорта в объеме капитального ремонта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9.4.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перерыв движения подвижного состава хотя бы по одному из путей перегона (станции) составил от 1 до 2 часов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9.5.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повреждены объекты инфраструктуры внеуличного транспорта до степени ограниченно-работоспособного технического состояния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10.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транспортных происшествий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 в результате которых: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10.1.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причинен вред здоровью менее 20 человек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10.2.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перерыв движения подвижного состава хотя бы по одному из путей перегона (станции) составил от 30 минут до 1 часа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1" w:type="dxa"/>
            <w:textDirection w:val="lrTb"/>
            <w:noWrap w:val="false"/>
          </w:tcPr>
          <w:p>
            <w:pPr>
              <w:pStyle w:val="895"/>
              <w:jc w:val="center"/>
              <w:outlineLvl w:val="1"/>
            </w:pPr>
            <w:r>
              <w:t xml:space="preserve">III. Информация о событиях, которые могут привести к нарушениям безопасности движения</w:t>
            </w:r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Столкновения подвижного состава при маневрах или других передвижениях, не имеющих последствий, указанных в подпунктах 7.1, 7.2, 7.3, 7.4, 7.5, 7.6 пункта 7, подпунктах 8.1, 8.2, 8.3, 8.4, 8.5 пункта 8, подпунктах 9.1, 9.2 пункта 9 настоящего отчета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Сходы подвижного состава при маневрах или других передвижениях, не имеющих последствий, указанных в подпунктах 7.1, 7.2, 7.3, 7.4, 7.5, 7.6 пункта 7, подпунктах 8.1, 8.2, 8.3, 8.4, 8.5 пункта 8, подпунктах 9.1, 9.2 пункта 9 настоящего отчета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Наезд подвижного состава на препятствие или тупиковые упоры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14.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Прием и отправление подвижного состава по маршруту (перегон, блок-участок), не предназначенному для движения по нему данного подвижного состава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15.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Перевод стрелки под подвижным составом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16.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Перевод входящей в маршрут стрелки при открытом светофоре, ограждающем установленный маршрут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17.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Не соответствующая действительному положению стрелки индикация на аппарате управления (пульт-табло, монитор)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18.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Несанкционированный перевод стрелки на закрытом для движения поездов пути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19.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Несанкционированное прекращение подачи сигнальных частот автоматической локомотивной сигнализации с автоматическим регулированием скорости (далее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АЛС-АРС) при движении подвижного состава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20.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Ложная подача разрешающего сигнала светофора, разрешающего сигнала АЛС-АРС вместо запрещающего 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Разрешающее положение скобы электромеханического автостопа при запрещающем показании светофора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Неисправность пути, искусственных сооружений и устройств с закрытием движения на участке 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Излом рельса во время движения подвижного состава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24.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Неисправность диспетчерских видов связи, продолжительностью один час и более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25.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  <w:jc w:val="both"/>
            </w:pPr>
            <w:r>
              <w:t xml:space="preserve">Выполнение на путях работ, тре</w:t>
            </w:r>
            <w:r>
              <w:t xml:space="preserve">бующих закрытия пути для движения подвижного состава без их закрытия, до получения копии приказа работника, уполномоченного перевозчиком на осуществление функции по регулированию движения подвижного состава в соответствии с установленными графиками (далее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поездной диспетчер) о закрытии, а также после их открытия для движения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26.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Технические неисправности на объек</w:t>
            </w:r>
            <w:r>
              <w:t xml:space="preserve">тах инфраструктуры, в результате которых отменен один и более поезд или допущена </w:t>
            </w:r>
            <w:r>
              <w:t xml:space="preserve">неграфиковая</w:t>
            </w:r>
            <w:r>
              <w:t xml:space="preserve"> высадка пассажиров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27.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Нарушение целостности конструкций сооружений инфраструктуры,</w:t>
            </w:r>
            <w:r>
              <w:t xml:space="preserve"> не имеющее последствий, указанных в подпунктах 7.1, 7.2, 7.3, 7.4, 7.5, 7.6 пункта 7, подпунктах 8.1, 8.2, 8.3, 8.4, 8.5 пункта 8, подпунктах 9.1, 9.2 пункта 9 настоящего отчета, повлекшее за собой нарушение графика (расписания) транспортного обслуживания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28.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Несанкционированный проезд запрещающего сигнала (в том числе погасшего или имеющего непонятное показание)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29.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Несанкционированное осаживание подвижного состава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30.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Самопроизвольное нарушение сцепления единиц подвижного состава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Ложная свободность рельсовой цепи при следовании подвижного состава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Самопроизвольный уход подвижного состава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Взрез стрелки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34.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Отключение без доклада поездному диспетчеру устройств, обеспечивающих безопасность движения подвижного состава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35.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Несанкционированный проезд станции без остановки или проезд сигнального знака </w:t>
            </w:r>
            <w:r>
              <w:rPr>
                <w:rFonts w:ascii="Andale Mono" w:hAnsi="Andale Mono" w:eastAsia="Andale Mono" w:cs="Andale Mono"/>
              </w:rPr>
              <w:t xml:space="preserve">«</w:t>
            </w:r>
            <w:r>
              <w:t xml:space="preserve">Остановка первого вагона</w:t>
            </w:r>
            <w:r>
              <w:rPr>
                <w:rFonts w:ascii="Andale Mono" w:hAnsi="Andale Mono" w:eastAsia="Andale Mono" w:cs="Andale Mono"/>
              </w:rPr>
              <w:t xml:space="preserve">»</w:t>
            </w:r>
            <w:r>
              <w:t xml:space="preserve">, в результате чего не производилась высадка пассажиров на станции хотя бы из одного вагона подвижного состава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36.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Открытие раздвижных (</w:t>
            </w:r>
            <w:r>
              <w:t xml:space="preserve">прислонно</w:t>
            </w:r>
            <w:r>
              <w:t xml:space="preserve">-раздвижных, </w:t>
            </w:r>
            <w:r>
              <w:t xml:space="preserve">прислонно</w:t>
            </w:r>
            <w:r>
              <w:t xml:space="preserve">-сдвижных) дверей вагона подвижного состава вне пределов пассажирской платформы или с противоположной от платформы </w:t>
            </w:r>
            <w:r>
              <w:t xml:space="preserve">стороны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152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37.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Технические неисправности подвижного состава, в результате которых отменен один и более поезд или допущена </w:t>
            </w:r>
            <w:r>
              <w:t xml:space="preserve">неграфиковая</w:t>
            </w:r>
            <w:r>
              <w:t xml:space="preserve"> высадка пассажиров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вследствие отказа: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37.1.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электрооборудования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37.2.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механического оборудования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37.3.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пневматического оборудования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37.4.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нагрева буксового узла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37.5.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автотормозного оборудования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38.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Повреждение, вызвавшее вынужденную остановку подвижного состава на перегоне (станции), если дальнейшее движение подвижного состава продолжено с помощью вспомогательного подвижного состава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43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39.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Неограждение</w:t>
            </w:r>
            <w:r>
              <w:t xml:space="preserve"> сигналами остановки места препятствия для движения подвижного состава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11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40.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Неограждение</w:t>
            </w:r>
            <w:r>
              <w:t xml:space="preserve"> съемной подвижной единицы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Нарушение габарита подвижного состава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Нарушение габарита приближения оборудования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Нарушение габарита приближения строений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44.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Непредупреждение</w:t>
            </w:r>
            <w:r>
              <w:t xml:space="preserve"> машинистов, управляющих первыми (после перерыва в движении пассажирских поездов со снятием напряжения с контактной сети) пятью поездами о завершении выполнения работ на объектах инфраструктуры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45.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Пожары и возгорания </w:t>
            </w:r>
            <w:r>
              <w:rPr>
                <w:rFonts w:ascii="Andale Mono" w:hAnsi="Andale Mono" w:eastAsia="Andale Mono" w:cs="Andale Mono"/>
                <w:sz w:val="28"/>
              </w:rPr>
              <w:t xml:space="preserve">-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45.1.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сооружений, инфраструктуры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45.2.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подвижного состава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1" w:type="dxa"/>
            <w:textDirection w:val="lrTb"/>
            <w:noWrap w:val="false"/>
          </w:tcPr>
          <w:p>
            <w:pPr>
              <w:pStyle w:val="895"/>
              <w:jc w:val="center"/>
              <w:outlineLvl w:val="1"/>
            </w:pPr>
            <w:r>
              <w:t xml:space="preserve">IV. Информация о соблюдении правил пользования внеуличным транспортом</w:t>
            </w:r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46.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нарушений правил пользования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8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46.1.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при организации перевозок пассажиров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9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46.2.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провоза ручной клади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46.3.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условий перевозки пассажиров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46.4.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условий провоза ручной клади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47.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нарушений требований к информированию пассажиров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 находящихся: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47.1.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в вагонах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47.2.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на станциях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47.3.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в межстанционных переходах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1" w:type="dxa"/>
            <w:textDirection w:val="lrTb"/>
            <w:noWrap w:val="false"/>
          </w:tcPr>
          <w:p>
            <w:pPr>
              <w:pStyle w:val="895"/>
              <w:jc w:val="center"/>
              <w:outlineLvl w:val="1"/>
            </w:pPr>
            <w:r>
              <w:t xml:space="preserve">V. Информация о доступности для пассажиров из числа инвалидов объектов инфраструктуры и подвижного состава внеуличного транспорта</w:t>
            </w:r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48.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нарушений порядка обеспечения условий доступности для пассажиров из числа инвалидов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48.1.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на объектах инфраструктуры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48.2.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в предоставлении услуг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48.3.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в оказании необходимой помощи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1" w:type="dxa"/>
            <w:textDirection w:val="lrTb"/>
            <w:noWrap w:val="false"/>
          </w:tcPr>
          <w:p>
            <w:pPr>
              <w:pStyle w:val="895"/>
              <w:jc w:val="center"/>
              <w:outlineLvl w:val="1"/>
            </w:pPr>
            <w:r>
              <w:t xml:space="preserve">VI. Информация о проведенных контрольных (надзорных) мероприятиях с взаимодействием с контролируемым лицом (далее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КНМ)</w:t>
            </w:r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49.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Общее количество проведенных КНМ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49.1.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плановых 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49.2.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внеплановых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49.2.1.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выездных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49.2.2.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документарных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49.2.3.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инспекционных визитов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50.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Общее количество контрольных (надзорных) действий, совершенных при проведении КНМ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50.1.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осмотров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50.1.1.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с использованием мобильного приложения «Инспектор»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50.2.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опросов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50.3.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полученных письменных объяснений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50.4.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истребованных документов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50.5.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инструментальных обследований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50.6.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экспертиз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Общее количество КНМ, проведенных с использованием средств дистанционного взаимодействия</w:t>
            </w:r>
            <w:r>
              <w:t xml:space="preserve">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</w:t>
            </w:r>
            <w:r>
              <w:t xml:space="preserve">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51.1.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с использованием видео-конференц-связи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51.2.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с использованием мобильного приложения «Инспектор»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нарушений обязательных требований, выявленных при проведении КНМ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52.1.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плановых 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52.2.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внеплановых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52.2.1.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выездных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52.2.2.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документарных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52.2.3.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инспекционных визитов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устраненных нарушений </w:t>
            </w:r>
            <w:r>
              <w:t xml:space="preserve">обязательных требований при проведении КНМ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53.1.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плановых 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53.2.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внеплановых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53.2.1.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выездных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53.2.2.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документарных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53.2.3.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инспекционных визитов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54.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Общее время проведения КНМ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часов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54.1.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плановых 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часов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54.2.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внеплановых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часов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54.2.1.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выездных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часов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54.2.2.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документарных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часов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54.2.3.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инспекционных визитов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часов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55.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Общее количество лиц, участвующих в КНМ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человек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56.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фактов неисполнения предписания контрольного (надзорного) органа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57.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лиц, привлеченных к административной ответственности за нарушения обязательных требований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 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57.1.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юридических лиц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57.2.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должностных лиц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человек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58.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Сумма наложенных административных штрафов за нарушения обязательных требований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тысяч рублей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59.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Сумма уплаченных административ</w:t>
            </w:r>
            <w:r>
              <w:t xml:space="preserve">ных штрафов за нарушения обязательных требований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тысяч рублей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1" w:type="dxa"/>
            <w:textDirection w:val="lrTb"/>
            <w:noWrap w:val="false"/>
          </w:tcPr>
          <w:p>
            <w:pPr>
              <w:pStyle w:val="895"/>
              <w:jc w:val="center"/>
              <w:outlineLvl w:val="1"/>
            </w:pPr>
            <w:r>
              <w:t xml:space="preserve">VII. Информация о проведении контрольных (надзорных) мероприятий без взаимодействия с контролируемым лицом (далее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КНМ БВ)</w:t>
            </w:r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60.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Общее количество проведенных КНМ БВ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60.1.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наблюдений за соблюдением обязательных требований (количество заданий)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60.2.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выездных обследований (количество заданий)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  <w:rPr>
                <w:b/>
              </w:rPr>
            </w:pPr>
            <w:r>
              <w:t xml:space="preserve">Общее количество контрольных (надзорных) действий, совершенных при проведении КНМ БВ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61.1.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осмотров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61.1.1.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с использованием мобильного приложения «Инспектор»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61.2.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инструментальных обследований (с применением видеозаписи)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выявленных нарушений при проведении КНМ БВ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62.1.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наблюдений за соблюдением обязательных требований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62.2.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выездных обследований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1" w:type="dxa"/>
            <w:textDirection w:val="lrTb"/>
            <w:noWrap w:val="false"/>
          </w:tcPr>
          <w:p>
            <w:pPr>
              <w:pStyle w:val="895"/>
              <w:jc w:val="center"/>
              <w:outlineLvl w:val="1"/>
            </w:pPr>
            <w:r>
              <w:t xml:space="preserve">VIII. Информация о проведении профилактических мероприятий</w:t>
            </w:r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Общее количество проведенных профилактических мероприятий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63.1.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информирований (количество фактов размещения информации на официальном сайте контрольного (надзорного) органа)</w:t>
            </w:r>
            <w:r>
              <w:rPr>
                <w:rStyle w:val="877"/>
              </w:rPr>
              <w:footnoteReference w:id="2"/>
            </w:r>
            <w:r>
              <w:t xml:space="preserve"> 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63.2.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консультирований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 </w:t>
            </w:r>
            <w:r>
              <w:t xml:space="preserve">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63.2.1.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с использованием мобильного приложения «Инспектор»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63.3.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обобщений правоприменительной практики</w:t>
            </w:r>
            <w:r>
              <w:rPr>
                <w:rStyle w:val="877"/>
              </w:rPr>
              <w:footnoteReference w:id="3"/>
            </w:r>
            <w:r>
              <w:t xml:space="preserve"> 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63.4.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объявлений предостережений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63.5.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профилактических визитов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63.5.1.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обязательный профилактический визит, из них: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63.5.1.1.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с выявленными нарушениями обязательных требований, из них: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63.5.1.1.1.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по результатам которых выдано предписание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63.5.2.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профилактический визит по инициативе контролируемого лица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64.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Общее количество профилактических визитов, проведенных с использованием средств дистанционного взаимодействия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64.1.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с использованием видео-конференц-связи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64.2.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с использованием мобильного приложения «Инспектор»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65.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Общее количество контрольных (надзорных) действий, совершенных при проведении обязательных профилактических визитов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65.1.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осмотров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65.1.1.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с использованием мобильного приложения «Инспектор»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65.2.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истребованных документов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65.3.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отборов проб (образцов)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65.4.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инструментальных обследований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65.5.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экспертиз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65.5.1.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с использованием мобильного приложения «Инспектор»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65.6.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испытаний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66.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Самообследование (количество фактов прохождения самообследования на официальном сайте контрольного (надзорного) органа)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из них: 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66.1.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самообследований, по результатам которых приняты и размещены на официальном сайте контрольного (надзорного) органа декларации соблюдения обязательных требований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67.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Меры стимулирования добросовестности (количество проведенных мероприятий)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1" w:type="dxa"/>
            <w:textDirection w:val="lrTb"/>
            <w:noWrap w:val="false"/>
          </w:tcPr>
          <w:p>
            <w:pPr>
              <w:pStyle w:val="895"/>
              <w:jc w:val="center"/>
              <w:outlineLvl w:val="1"/>
            </w:pPr>
            <w:r>
              <w:t xml:space="preserve">IX. Информация об оценке эффективности и качества осуществления переданных полномочий</w:t>
            </w:r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68.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не проведенных КНМ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  <w:rPr>
                <w:highlight w:val="yellow"/>
              </w:rPr>
            </w:pPr>
            <w:r>
              <w:rPr>
                <w:highlight w:val="white"/>
              </w:rPr>
              <w:t xml:space="preserve">68.1.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плановых 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69.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КНМ, результаты которых были признаны недействительными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69.1.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по решению уполномоченного органа, проводившего контрольное (надзорное) мероприятие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69.2.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по решению Ространснадзора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69.3.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по решению территориального органа Ространснадзора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69.4.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по решению суда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69.5.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по представлению (заявлению) прокурора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70.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Освоение субвенции, выделенной из федерального бюджета бюджету субъекта Российской Федерации на осуществление переданных полномочий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%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71.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  <w:rPr>
                <w:color w:val="000000" w:themeColor="text1"/>
              </w:rPr>
            </w:pPr>
            <w:r>
              <w:t xml:space="preserve">Количество </w:t>
            </w:r>
            <w:r>
              <w:rPr>
                <w:color w:val="000000" w:themeColor="text1"/>
              </w:rPr>
              <w:t xml:space="preserve">проведенных КН</w:t>
            </w:r>
            <w:r>
              <w:rPr>
                <w:color w:val="000000" w:themeColor="text1"/>
              </w:rPr>
              <w:t xml:space="preserve">М,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в </w:t>
            </w:r>
            <w:r>
              <w:t xml:space="preserve">результате которых не выявлены нарушения обязательных требований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72.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Число случаев несвоевременного представления в Ространснадзор отчетности об осуществлении органами государственной власти субъектов Российской Федерации переданных полномочий в отчетном году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73.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Число погибших в результате тра</w:t>
            </w:r>
            <w:r>
              <w:t xml:space="preserve">нспортных происшествий, аварий и чрезвычайных ситуаций техногенного характера, произошедших по вине перевозчика из-за нарушения правил технической эксплуатации внеуличного транспорта (за исключением эскалаторов) и правил пользования внеуличным транспортом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человек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74.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95"/>
            </w:pPr>
            <w:r>
              <w:t xml:space="preserve">Число пострадавших, которым был причинен вред здоровью, в результате тра</w:t>
            </w:r>
            <w:r>
              <w:t xml:space="preserve">нспортных происшествий, аварий и чрезвычайных ситуаций техногенного характера, произошедших по вине перевозчика из-за нарушения правил технической эксплуатации внеуличного транспорта (за исключением эскалаторов) и правил пользования внеуличным транспортом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человек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</w:tbl>
    <w:p>
      <w:pPr>
        <w:pStyle w:val="895"/>
        <w:ind w:firstLine="540"/>
        <w:jc w:val="both"/>
      </w:pPr>
      <w:r/>
      <w:r/>
      <w:r/>
    </w:p>
    <w:tbl>
      <w:tblPr>
        <w:tblW w:w="0" w:type="auto"/>
        <w:tblInd w:w="-33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3230"/>
        <w:gridCol w:w="1474"/>
        <w:gridCol w:w="1304"/>
        <w:gridCol w:w="4245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30" w:type="dxa"/>
            <w:vAlign w:val="bottom"/>
            <w:textDirection w:val="lrTb"/>
            <w:noWrap w:val="false"/>
          </w:tcPr>
          <w:p>
            <w:pPr>
              <w:pStyle w:val="895"/>
              <w:ind w:left="142"/>
            </w:pPr>
            <w:r>
              <w:t xml:space="preserve">Руководитель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74" w:type="dxa"/>
            <w:textDirection w:val="lrTb"/>
            <w:noWrap w:val="false"/>
          </w:tcPr>
          <w:p>
            <w:pPr>
              <w:pStyle w:val="895"/>
              <w:ind w:left="142"/>
            </w:pPr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04" w:type="dxa"/>
            <w:textDirection w:val="lrTb"/>
            <w:noWrap w:val="false"/>
          </w:tcPr>
          <w:p>
            <w:pPr>
              <w:pStyle w:val="895"/>
              <w:ind w:left="142"/>
            </w:pPr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45" w:type="dxa"/>
            <w:textDirection w:val="lrTb"/>
            <w:noWrap w:val="false"/>
          </w:tcPr>
          <w:p>
            <w:pPr>
              <w:pStyle w:val="895"/>
              <w:ind w:left="142"/>
            </w:pPr>
            <w:r/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30" w:type="dxa"/>
            <w:textDirection w:val="lrTb"/>
            <w:noWrap w:val="false"/>
          </w:tcPr>
          <w:p>
            <w:pPr>
              <w:pStyle w:val="895"/>
              <w:ind w:left="142"/>
            </w:pPr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74" w:type="dxa"/>
            <w:textDirection w:val="lrTb"/>
            <w:noWrap w:val="false"/>
          </w:tcPr>
          <w:p>
            <w:pPr>
              <w:pStyle w:val="895"/>
              <w:ind w:left="142"/>
              <w:jc w:val="center"/>
            </w:pPr>
            <w:r>
              <w:t xml:space="preserve">(подпись)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04" w:type="dxa"/>
            <w:textDirection w:val="lrTb"/>
            <w:noWrap w:val="false"/>
          </w:tcPr>
          <w:p>
            <w:pPr>
              <w:pStyle w:val="895"/>
              <w:ind w:left="142"/>
            </w:pPr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45" w:type="dxa"/>
            <w:textDirection w:val="lrTb"/>
            <w:noWrap w:val="false"/>
          </w:tcPr>
          <w:p>
            <w:pPr>
              <w:pStyle w:val="895"/>
              <w:ind w:left="142"/>
              <w:jc w:val="center"/>
            </w:pPr>
            <w:r>
              <w:t xml:space="preserve">(инициалы и фамилия)</w:t>
            </w:r>
            <w:r/>
            <w:r/>
          </w:p>
        </w:tc>
      </w:tr>
      <w:tr>
        <w:tblPrEx/>
        <w:trPr/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253" w:type="dxa"/>
            <w:textDirection w:val="lrTb"/>
            <w:noWrap w:val="false"/>
          </w:tcPr>
          <w:p>
            <w:pPr>
              <w:pStyle w:val="895"/>
              <w:ind w:left="142"/>
            </w:pPr>
            <w:r/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30" w:type="dxa"/>
            <w:textDirection w:val="lrTb"/>
            <w:noWrap w:val="false"/>
          </w:tcPr>
          <w:p>
            <w:pPr>
              <w:pStyle w:val="895"/>
              <w:ind w:left="142"/>
            </w:pPr>
            <w:r>
              <w:t xml:space="preserve">(дата составления отчета)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74" w:type="dxa"/>
            <w:textDirection w:val="lrTb"/>
            <w:noWrap w:val="false"/>
          </w:tcPr>
          <w:p>
            <w:pPr>
              <w:pStyle w:val="895"/>
              <w:ind w:left="142"/>
            </w:pPr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04" w:type="dxa"/>
            <w:textDirection w:val="lrTb"/>
            <w:noWrap w:val="false"/>
          </w:tcPr>
          <w:p>
            <w:pPr>
              <w:pStyle w:val="895"/>
              <w:ind w:left="142"/>
            </w:pPr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45" w:type="dxa"/>
            <w:textDirection w:val="lrTb"/>
            <w:noWrap w:val="false"/>
          </w:tcPr>
          <w:p>
            <w:pPr>
              <w:pStyle w:val="895"/>
              <w:ind w:left="142"/>
            </w:pPr>
            <w:r/>
            <w:r/>
            <w:r/>
          </w:p>
        </w:tc>
      </w:tr>
    </w:tbl>
    <w:p>
      <w:r/>
      <w:r/>
      <w:r/>
    </w:p>
    <w:p>
      <w:pPr>
        <w:rPr>
          <w:rFonts w:ascii="Times New Roman" w:hAnsi="Times New Roman" w:cs="Times New Roman"/>
          <w:sz w:val="28"/>
          <w:szCs w:val="28"/>
          <w:highlight w:val="none"/>
        </w:rPr>
        <w:sectPr>
          <w:footnotePr/>
          <w:endnotePr/>
          <w:type w:val="nextPage"/>
          <w:pgSz w:w="11906" w:h="16838" w:orient="portrait"/>
          <w:pgMar w:top="1134" w:right="709" w:bottom="1134" w:left="1134" w:header="709" w:footer="709" w:gutter="0"/>
          <w:cols w:num="1" w:sep="0" w:space="708" w:equalWidth="1"/>
          <w:docGrid w:linePitch="360"/>
          <w:titlePg/>
        </w:sect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5"/>
        <w:jc w:val="right"/>
        <w:outlineLvl w:val="0"/>
      </w:pPr>
      <w:r>
        <w:t xml:space="preserve">Приложение № 2</w:t>
      </w:r>
      <w:r/>
      <w:r/>
    </w:p>
    <w:p>
      <w:pPr>
        <w:pStyle w:val="895"/>
        <w:jc w:val="right"/>
      </w:pPr>
      <w:r>
        <w:t xml:space="preserve">к приказу Федеральной службы</w:t>
      </w:r>
      <w:r/>
      <w:r/>
    </w:p>
    <w:p>
      <w:pPr>
        <w:pStyle w:val="895"/>
        <w:jc w:val="right"/>
      </w:pPr>
      <w:r>
        <w:t xml:space="preserve">по надзору в сфере транспорта</w:t>
      </w:r>
      <w:r/>
      <w:r/>
    </w:p>
    <w:p>
      <w:pPr>
        <w:pStyle w:val="895"/>
        <w:jc w:val="right"/>
      </w:pPr>
      <w:r>
        <w:t xml:space="preserve">от ____________ № ________</w:t>
      </w:r>
      <w:r/>
      <w:r/>
    </w:p>
    <w:p>
      <w:pPr>
        <w:pStyle w:val="895"/>
        <w:jc w:val="both"/>
      </w:pPr>
      <w:r/>
      <w:r/>
      <w:r/>
    </w:p>
    <w:p>
      <w:pPr>
        <w:pStyle w:val="895"/>
        <w:jc w:val="right"/>
      </w:pPr>
      <w:r>
        <w:t xml:space="preserve">(Форма)</w:t>
      </w:r>
      <w:r/>
      <w:r/>
    </w:p>
    <w:p>
      <w:pPr>
        <w:pStyle w:val="895"/>
        <w:jc w:val="right"/>
      </w:pPr>
      <w:r/>
      <w:r/>
      <w:r/>
    </w:p>
    <w:tbl>
      <w:tblPr>
        <w:tblW w:w="0" w:type="auto"/>
        <w:tblBorders>
          <w:insideH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275"/>
        <w:gridCol w:w="3658"/>
        <w:gridCol w:w="964"/>
        <w:gridCol w:w="1006"/>
        <w:gridCol w:w="1006"/>
        <w:gridCol w:w="1006"/>
        <w:gridCol w:w="1006"/>
      </w:tblGrid>
      <w:tr>
        <w:tblPrEx/>
        <w:trPr/>
        <w:tc>
          <w:tcPr>
            <w:gridSpan w:val="7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9921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(</w:t>
            </w:r>
            <w:r>
              <w:t xml:space="preserve">уполномоченный орган государственной власти субъекта Российской Федерации, осуществляющий переданные полномочия по федеральному государственному контролю (надзору) </w:t>
              <w:br/>
              <w:t xml:space="preserve">за соблюдением правил технической эксплуатации монорельсового транспорта и правил пользован</w:t>
            </w:r>
            <w:r>
              <w:t xml:space="preserve">ия монорельсовым транспортом)</w:t>
            </w:r>
            <w:r/>
            <w:r/>
          </w:p>
        </w:tc>
      </w:tr>
      <w:tr>
        <w:tblPrEx/>
        <w:trPr/>
        <w:tc>
          <w:tcPr>
            <w:gridSpan w:val="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ОТЧЕТ</w:t>
            </w:r>
            <w:r/>
            <w:r/>
          </w:p>
          <w:p>
            <w:pPr>
              <w:pStyle w:val="895"/>
              <w:jc w:val="center"/>
            </w:pPr>
            <w:r>
              <w:t xml:space="preserve">об осуществлении переданных полномочий по федеральному государственному контролю (надзору) за соблюдением правил технической эксплуатации монорельсового транспорта </w:t>
              <w:br/>
              <w:t xml:space="preserve">и правил пользования монорельсовым транспортом</w:t>
            </w:r>
            <w:r/>
            <w:r/>
          </w:p>
        </w:tc>
      </w:tr>
      <w:tr>
        <w:tblPrEx/>
        <w:trPr/>
        <w:tc>
          <w:tcPr>
            <w:gridSpan w:val="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в __________________________________________</w:t>
            </w:r>
            <w:r/>
            <w:r/>
          </w:p>
          <w:p>
            <w:pPr>
              <w:pStyle w:val="895"/>
              <w:jc w:val="center"/>
            </w:pPr>
            <w:r>
              <w:t xml:space="preserve">(наименование субъекта Российской Федерации)</w:t>
            </w:r>
            <w:r/>
            <w:r/>
          </w:p>
          <w:p>
            <w:pPr>
              <w:pStyle w:val="895"/>
              <w:jc w:val="center"/>
            </w:pPr>
            <w:r>
              <w:t xml:space="preserve">за период ____________</w:t>
            </w:r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№ п/п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Основные показатели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Единицы измерений</w:t>
            </w:r>
            <w:r/>
            <w:r/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2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Монорельсовый транспорт</w:t>
            </w:r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continue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continue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continue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2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Текущий месяц</w:t>
            </w:r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2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Нарастающим итогом</w:t>
            </w:r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continue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continue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continue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Год, предшествующий отчетному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Отчетный год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Год, предшествующий отчетному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Отчетный год</w:t>
            </w:r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7</w:t>
            </w:r>
            <w:r/>
            <w:r/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1" w:type="dxa"/>
            <w:textDirection w:val="lrTb"/>
            <w:noWrap w:val="false"/>
          </w:tcPr>
          <w:p>
            <w:pPr>
              <w:pStyle w:val="895"/>
              <w:jc w:val="center"/>
              <w:outlineLvl w:val="1"/>
            </w:pPr>
            <w:r>
              <w:t xml:space="preserve">I. Информация об общей характеристике объекта надзора</w:t>
            </w:r>
            <w:r/>
            <w:r/>
          </w:p>
        </w:tc>
      </w:tr>
      <w:tr>
        <w:tblPrEx/>
        <w:trPr>
          <w:trHeight w:val="158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Эксплуатационная длина линий монорельсового транспорта в однопутном исчислении (сумма длин главных путей, станционных путей и других путей)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км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3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станций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77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Подвижной состав (инвентарного парка) для перевозки пассажиров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9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перевезенных пассажиров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человек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562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1" w:type="dxa"/>
            <w:textDirection w:val="lrTb"/>
            <w:noWrap w:val="false"/>
          </w:tcPr>
          <w:p>
            <w:pPr>
              <w:pStyle w:val="895"/>
              <w:jc w:val="center"/>
              <w:outlineLvl w:val="1"/>
            </w:pPr>
            <w:r>
              <w:t xml:space="preserve">II. Информация о нарушениях безопасности движения</w:t>
            </w:r>
            <w:r/>
            <w:r/>
          </w:p>
        </w:tc>
      </w:tr>
      <w:tr>
        <w:tblPrEx/>
        <w:trPr>
          <w:trHeight w:val="11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чрезвычайных ситуаций техногенного характера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 в результате которых: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погиб 1 и более человек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причинен тяжкий вред здоровью 5 и более человек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5.3.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причинен вред здоровью более 50 человек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5.4.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поврежден подвижной состав внеуличного транспорта до </w:t>
            </w:r>
            <w:r>
              <w:rPr>
                <w:color w:val="000000" w:themeColor="text1"/>
              </w:rPr>
              <w:t xml:space="preserve">степени, исключающей ремонтопригодность и дальнейшую эксплуатацию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5.5.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полный перерыв движения подвижного состава хотя бы по одному из путей перегона (станции) составил более 2 часов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аварий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 в результате которых: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причинен тяжкий вред здоровью менее 5 человек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причинен вред здоровью от 20 до 50 человек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6.3.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поврежден подвижной состав внеуличного транспорта в объеме капитального ремонта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6.4.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полный перерыв движения подвижного состава хотя бы по одному из путей перегона (станции) составил от 1 до 2 часов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7.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транспортных происшествий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 в результате которых: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45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7.1.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причинен вред здоровью менее 20 человек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135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7.2.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полный перерыв движения подвижного состава хотя бы по одному из путей перегона (станции) составил от 30 минут до 1 часа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1" w:type="dxa"/>
            <w:textDirection w:val="lrTb"/>
            <w:noWrap w:val="false"/>
          </w:tcPr>
          <w:p>
            <w:pPr>
              <w:pStyle w:val="895"/>
              <w:jc w:val="center"/>
              <w:outlineLvl w:val="1"/>
            </w:pPr>
            <w:r>
              <w:t xml:space="preserve">III. Информация о событиях, которые могут привести к нарушениям безопасности движения</w:t>
            </w:r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8.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Столкновения и сходы подвижного состава при маневрах или других передвижениях, не имеющих последствий, указанных в подпунктах 5.1, 5.2, 5.3, 5.4, 5.5 пункта 5, подпунктах 6.1, 6.2, 6.3, 6.4 пункта 6, подпунктах 7.1, 7.2 пункта 7 настоящего отчета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9.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Прием и отправление подвижного состава по маршруту (перегон, блок-участок), не предназначенному для движения по нему данного подвижного состава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10.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Несанкционированный проезд запрещающего сигнала (в том числе погасшего или имеющего непонятное показание)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Несанкционированное осаживание подвижного состава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Самопроизвольное нарушение сцепления единиц подвижного состава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Самопроизвольный уход подвижного состава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14.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Наезд на препятствие и тупиковые упоры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15.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Заклинивание колеса в подвижном составе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16.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Падение на ходовую балку деталей подвижного состава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17.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Нарушение габарита подвижного состава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18.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Нарушение габарита приближения оборудования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19.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Нарушение габарита приближения строений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20.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Отключение без </w:t>
            </w:r>
            <w:r>
              <w:t xml:space="preserve">доклада работнику, уполномоченному перевозчиком на осуществление функции </w:t>
            </w:r>
            <w:r>
              <w:t xml:space="preserve">по регулированию движения подвижного состава в соответствии с установленными графиками (далее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поездной диспетчер), устройств, обеспечивающих безопасность движения подвижного состава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Распломбирование</w:t>
            </w:r>
            <w:r>
              <w:t xml:space="preserve"> и включение </w:t>
            </w:r>
            <w:r>
              <w:rPr>
                <w:rFonts w:ascii="Andale Mono" w:hAnsi="Andale Mono" w:eastAsia="Andale Mono" w:cs="Andale Mono"/>
              </w:rPr>
              <w:t xml:space="preserve">«</w:t>
            </w:r>
            <w:r>
              <w:t xml:space="preserve">ручного режима</w:t>
            </w:r>
            <w:r>
              <w:rPr>
                <w:rFonts w:ascii="Andale Mono" w:hAnsi="Andale Mono" w:eastAsia="Andale Mono" w:cs="Andale Mono"/>
              </w:rPr>
              <w:t xml:space="preserve">»</w:t>
            </w:r>
            <w:r>
              <w:t xml:space="preserve"> управления без доклада поездному диспетчеру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Несанкционированный проезд станции без остановки или проезд сигнального знака </w:t>
            </w:r>
            <w:r>
              <w:rPr>
                <w:rFonts w:ascii="Andale Mono" w:hAnsi="Andale Mono" w:eastAsia="Andale Mono" w:cs="Andale Mono"/>
              </w:rPr>
              <w:t xml:space="preserve">«</w:t>
            </w:r>
            <w:r>
              <w:t xml:space="preserve">Остановка первого вагона</w:t>
            </w:r>
            <w:r>
              <w:rPr>
                <w:rFonts w:ascii="Andale Mono" w:hAnsi="Andale Mono" w:eastAsia="Andale Mono" w:cs="Andale Mono"/>
              </w:rPr>
              <w:t xml:space="preserve">»</w:t>
            </w:r>
            <w:r>
              <w:t xml:space="preserve">, в результате чего не производилась высадка пассажиров на станции хотя бы из одного вагона подвижного состава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Открытие раздвижных дверей вагона подвижного состава вне пределов пассажирской платформы или с противоположной от платформы стороны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24.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Незакрепление</w:t>
            </w:r>
            <w:r>
              <w:t xml:space="preserve"> подвижного состава затормаживающими устройствами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25.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Незакрепление</w:t>
            </w:r>
            <w:r>
              <w:t xml:space="preserve"> подвижного состава из-за неисправности (стояночного тормоза, ручного тормоза)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26.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Оставление на ходовой балке и смотровых ходках незакрепленного оборудования, инструмента, инвентаря и других материалов, вызвавшее их нахождение в пределах габар</w:t>
            </w:r>
            <w:r>
              <w:t xml:space="preserve">ита подвижного состава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27.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Не соответствующая действительному положению стрелочного перевода индикация в системе диспетчерского управления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28.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Несанкционированный поворот поворотной балки стрелочного </w:t>
            </w:r>
            <w:r>
              <w:t xml:space="preserve">перевода на закрытом для движения поездов пути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29.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Технические неисправности подвижного состава, в результате которых отменен один и более поезд или допущена </w:t>
            </w:r>
            <w:r>
              <w:t xml:space="preserve">неграфиковая</w:t>
            </w:r>
            <w:r>
              <w:t xml:space="preserve"> высадка пассажиров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вследствие отказа: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29.1.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электрооборудования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29.2.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механического оборудования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29.3.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автотормозного оборудования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30.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Повреждение, вызвавшее вынужденную остановку подвижного состава на перегоне (станции), если дальнейшее движение подвижного состава продолжено с помощью вспомогательного подвижного состава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Неисправность диспетчерских видов связи, продолжител</w:t>
            </w:r>
            <w:r>
              <w:t xml:space="preserve">ьностью один час и более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Технические неисправности на объектах инфраструктуры, в результате которых отменен один и более поезд или допущена </w:t>
            </w:r>
            <w:r>
              <w:t xml:space="preserve">неграфиковая</w:t>
            </w:r>
            <w:r>
              <w:t xml:space="preserve"> высадка пассажиров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Нарушение целостности конструкций сооружений инфра</w:t>
            </w:r>
            <w:r>
              <w:t xml:space="preserve">структуры, не имеющее последствий, указанных в подпунктах 5.1, 5.2, 5.3, 5.4, 5.5 пункта 5, подпунктах 6.1, 6.2, 6.3, 6.4 пункта 6, подпунктах 7.1, 7.2 пункта 7 настоящего отчета, повлекшее за собой нарушение графика (расписания) транспортного обслуживания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34.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Пожары и возгорания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34.1.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сооружений, инфраструктуры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34.2.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подвижного состава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1" w:type="dxa"/>
            <w:textDirection w:val="lrTb"/>
            <w:noWrap w:val="false"/>
          </w:tcPr>
          <w:p>
            <w:pPr>
              <w:pStyle w:val="895"/>
              <w:jc w:val="center"/>
              <w:outlineLvl w:val="1"/>
            </w:pPr>
            <w:r>
              <w:t xml:space="preserve">IV. Информация о соблюдении правил пользования внеуличным транспортом</w:t>
            </w:r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35.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нарушений правил пользования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35.1.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при организации перевозок пассажиров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35.2.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провоза ручной клади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35.3.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условий перевозки пассажиров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35.4.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условий провоза ручной клади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36.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нарушений требований к информированию пассажиров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 находящихся: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36.1.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в вагонах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36.2.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на станциях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36.3.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в межстанционных переходах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37.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Наличие договора страхования гражданской ответственности перевозчика за причинение при перевозках пассажиров вреда их жизни, здоровью, имуществу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да/нет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1" w:type="dxa"/>
            <w:textDirection w:val="lrTb"/>
            <w:noWrap w:val="false"/>
          </w:tcPr>
          <w:p>
            <w:pPr>
              <w:pStyle w:val="895"/>
              <w:jc w:val="center"/>
              <w:outlineLvl w:val="1"/>
            </w:pPr>
            <w:r>
              <w:t xml:space="preserve">V. Информация о доступности для пассажиров из числа инвалидов объектов инфраструктуры и подвижного состава внеуличного транспорта</w:t>
            </w:r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38.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нарушений порядка обеспечения условий доступности для пассажиров из числа инвалидов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</w:t>
            </w:r>
            <w:r>
              <w:t xml:space="preserve">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38.1.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на объектах инфраструктуры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38.2.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в предоставлении услуг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38.3.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в оказании необходимой помощи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1" w:type="dxa"/>
            <w:textDirection w:val="lrTb"/>
            <w:noWrap w:val="false"/>
          </w:tcPr>
          <w:p>
            <w:pPr>
              <w:pStyle w:val="895"/>
              <w:jc w:val="center"/>
              <w:outlineLvl w:val="1"/>
            </w:pPr>
            <w:r>
              <w:t xml:space="preserve">VI. Информация о проведении контрольных (надзорных) мероприятий с взаимодействием с контролируемым лицом </w:t>
            </w:r>
            <w:r>
              <w:t xml:space="preserve">(далее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КНМ)</w:t>
            </w:r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39.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Общее количество проведенных КНМ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39.1.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плановых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39.2.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внеплановых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39.2.1.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выездных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39.2.2.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документарных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39.2.3.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инспекционных визитов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40.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выявленных нарушений при проведении КНМ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40.1.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плановых 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40.2.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внеплановых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40.2.1.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выездных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40.2.2.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документарных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40.2.3.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инспекционных визитов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устраненных нарушений при проведении КНМ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41.1.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плановых 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41.2.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внеплановых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41.2.1.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выездных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41.2.2.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документарных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41.2.3.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инспекционных визитов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  <w:pBdr>
                <w:top w:val="none" w:color="000000" w:sz="8" w:space="0"/>
                <w:left w:val="none" w:color="000000" w:sz="8" w:space="0"/>
                <w:bottom w:val="none" w:color="000000" w:sz="8" w:space="0"/>
                <w:right w:val="none" w:color="000000" w:sz="8" w:space="0"/>
                <w:between w:val="none" w:color="000000" w:sz="8" w:space="0"/>
              </w:pBdr>
            </w:pPr>
            <w:r>
              <w:t xml:space="preserve">42.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  <w:pBdr>
                <w:top w:val="none" w:color="000000" w:sz="8" w:space="0"/>
                <w:left w:val="none" w:color="000000" w:sz="8" w:space="0"/>
                <w:bottom w:val="none" w:color="000000" w:sz="8" w:space="0"/>
                <w:right w:val="none" w:color="000000" w:sz="8" w:space="0"/>
                <w:between w:val="none" w:color="000000" w:sz="8" w:space="0"/>
              </w:pBdr>
            </w:pPr>
            <w:r>
              <w:t xml:space="preserve">Общее количество контрольных (надзорных) действий, совершенных при проведении КНМ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  <w:pBdr>
                <w:top w:val="none" w:color="000000" w:sz="8" w:space="0"/>
                <w:left w:val="none" w:color="000000" w:sz="8" w:space="0"/>
                <w:bottom w:val="none" w:color="000000" w:sz="8" w:space="0"/>
                <w:right w:val="none" w:color="000000" w:sz="8" w:space="0"/>
                <w:between w:val="none" w:color="000000" w:sz="8" w:space="0"/>
              </w:pBdr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  <w:pBdr>
                <w:top w:val="none" w:color="000000" w:sz="8" w:space="0"/>
                <w:left w:val="none" w:color="000000" w:sz="8" w:space="0"/>
                <w:bottom w:val="none" w:color="000000" w:sz="8" w:space="0"/>
                <w:right w:val="none" w:color="000000" w:sz="8" w:space="0"/>
                <w:between w:val="none" w:color="000000" w:sz="8" w:space="0"/>
              </w:pBdr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  <w:pBdr>
                <w:top w:val="none" w:color="000000" w:sz="8" w:space="0"/>
                <w:left w:val="none" w:color="000000" w:sz="8" w:space="0"/>
                <w:bottom w:val="none" w:color="000000" w:sz="8" w:space="0"/>
                <w:right w:val="none" w:color="000000" w:sz="8" w:space="0"/>
                <w:between w:val="none" w:color="000000" w:sz="8" w:space="0"/>
              </w:pBdr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  <w:pBdr>
                <w:top w:val="none" w:color="000000" w:sz="8" w:space="0"/>
                <w:left w:val="none" w:color="000000" w:sz="8" w:space="0"/>
                <w:bottom w:val="none" w:color="000000" w:sz="8" w:space="0"/>
                <w:right w:val="none" w:color="000000" w:sz="8" w:space="0"/>
                <w:between w:val="none" w:color="000000" w:sz="8" w:space="0"/>
              </w:pBdr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  <w:pBdr>
                <w:top w:val="none" w:color="000000" w:sz="8" w:space="0"/>
                <w:left w:val="none" w:color="000000" w:sz="8" w:space="0"/>
                <w:bottom w:val="none" w:color="000000" w:sz="8" w:space="0"/>
                <w:right w:val="none" w:color="000000" w:sz="8" w:space="0"/>
                <w:between w:val="none" w:color="000000" w:sz="8" w:space="0"/>
              </w:pBdr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  <w:pBdr>
                <w:top w:val="none" w:color="000000" w:sz="8" w:space="0"/>
                <w:left w:val="none" w:color="000000" w:sz="8" w:space="0"/>
                <w:bottom w:val="none" w:color="000000" w:sz="8" w:space="0"/>
                <w:right w:val="none" w:color="000000" w:sz="8" w:space="0"/>
                <w:between w:val="none" w:color="000000" w:sz="8" w:space="0"/>
              </w:pBdr>
            </w:pPr>
            <w:r>
              <w:t xml:space="preserve">42.1.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  <w:pBdr>
                <w:top w:val="none" w:color="000000" w:sz="8" w:space="0"/>
                <w:left w:val="none" w:color="000000" w:sz="8" w:space="0"/>
                <w:bottom w:val="none" w:color="000000" w:sz="8" w:space="0"/>
                <w:right w:val="none" w:color="000000" w:sz="8" w:space="0"/>
                <w:between w:val="none" w:color="000000" w:sz="8" w:space="0"/>
              </w:pBdr>
            </w:pPr>
            <w:r>
              <w:t xml:space="preserve">осмотров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  <w:pBdr>
                <w:top w:val="none" w:color="000000" w:sz="8" w:space="0"/>
                <w:left w:val="none" w:color="000000" w:sz="8" w:space="0"/>
                <w:bottom w:val="none" w:color="000000" w:sz="8" w:space="0"/>
                <w:right w:val="none" w:color="000000" w:sz="8" w:space="0"/>
                <w:between w:val="none" w:color="000000" w:sz="8" w:space="0"/>
              </w:pBdr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  <w:pBdr>
                <w:top w:val="none" w:color="000000" w:sz="8" w:space="0"/>
                <w:left w:val="none" w:color="000000" w:sz="8" w:space="0"/>
                <w:bottom w:val="none" w:color="000000" w:sz="8" w:space="0"/>
                <w:right w:val="none" w:color="000000" w:sz="8" w:space="0"/>
                <w:between w:val="none" w:color="000000" w:sz="8" w:space="0"/>
              </w:pBdr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  <w:pBdr>
                <w:top w:val="none" w:color="000000" w:sz="8" w:space="0"/>
                <w:left w:val="none" w:color="000000" w:sz="8" w:space="0"/>
                <w:bottom w:val="none" w:color="000000" w:sz="8" w:space="0"/>
                <w:right w:val="none" w:color="000000" w:sz="8" w:space="0"/>
                <w:between w:val="none" w:color="000000" w:sz="8" w:space="0"/>
              </w:pBdr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  <w:pBdr>
                <w:top w:val="none" w:color="000000" w:sz="8" w:space="0"/>
                <w:left w:val="none" w:color="000000" w:sz="8" w:space="0"/>
                <w:bottom w:val="none" w:color="000000" w:sz="8" w:space="0"/>
                <w:right w:val="none" w:color="000000" w:sz="8" w:space="0"/>
                <w:between w:val="none" w:color="000000" w:sz="8" w:space="0"/>
              </w:pBdr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  <w:pBdr>
                <w:top w:val="none" w:color="000000" w:sz="8" w:space="0"/>
                <w:left w:val="none" w:color="000000" w:sz="8" w:space="0"/>
                <w:bottom w:val="none" w:color="000000" w:sz="8" w:space="0"/>
                <w:right w:val="none" w:color="000000" w:sz="8" w:space="0"/>
                <w:between w:val="none" w:color="000000" w:sz="8" w:space="0"/>
              </w:pBdr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  <w:pBdr>
                <w:top w:val="none" w:color="000000" w:sz="8" w:space="0"/>
                <w:left w:val="none" w:color="000000" w:sz="8" w:space="0"/>
                <w:bottom w:val="none" w:color="000000" w:sz="8" w:space="0"/>
                <w:right w:val="none" w:color="000000" w:sz="8" w:space="0"/>
                <w:between w:val="none" w:color="000000" w:sz="8" w:space="0"/>
              </w:pBdr>
            </w:pPr>
            <w:r>
              <w:t xml:space="preserve">42.1.1.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  <w:pBdr>
                <w:top w:val="none" w:color="000000" w:sz="8" w:space="0"/>
                <w:left w:val="none" w:color="000000" w:sz="8" w:space="0"/>
                <w:bottom w:val="none" w:color="000000" w:sz="8" w:space="0"/>
                <w:right w:val="none" w:color="000000" w:sz="8" w:space="0"/>
                <w:between w:val="none" w:color="000000" w:sz="8" w:space="0"/>
              </w:pBdr>
            </w:pPr>
            <w:r>
              <w:t xml:space="preserve">с использованием мобильного приложения «Инспектор»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  <w:pBdr>
                <w:top w:val="none" w:color="000000" w:sz="8" w:space="0"/>
                <w:left w:val="none" w:color="000000" w:sz="8" w:space="0"/>
                <w:bottom w:val="none" w:color="000000" w:sz="8" w:space="0"/>
                <w:right w:val="none" w:color="000000" w:sz="8" w:space="0"/>
                <w:between w:val="none" w:color="000000" w:sz="8" w:space="0"/>
              </w:pBdr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  <w:pBdr>
                <w:top w:val="none" w:color="000000" w:sz="8" w:space="0"/>
                <w:left w:val="none" w:color="000000" w:sz="8" w:space="0"/>
                <w:bottom w:val="none" w:color="000000" w:sz="8" w:space="0"/>
                <w:right w:val="none" w:color="000000" w:sz="8" w:space="0"/>
                <w:between w:val="none" w:color="000000" w:sz="8" w:space="0"/>
              </w:pBdr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  <w:pBdr>
                <w:top w:val="none" w:color="000000" w:sz="8" w:space="0"/>
                <w:left w:val="none" w:color="000000" w:sz="8" w:space="0"/>
                <w:bottom w:val="none" w:color="000000" w:sz="8" w:space="0"/>
                <w:right w:val="none" w:color="000000" w:sz="8" w:space="0"/>
                <w:between w:val="none" w:color="000000" w:sz="8" w:space="0"/>
              </w:pBdr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  <w:pBdr>
                <w:top w:val="none" w:color="000000" w:sz="8" w:space="0"/>
                <w:left w:val="none" w:color="000000" w:sz="8" w:space="0"/>
                <w:bottom w:val="none" w:color="000000" w:sz="8" w:space="0"/>
                <w:right w:val="none" w:color="000000" w:sz="8" w:space="0"/>
                <w:between w:val="none" w:color="000000" w:sz="8" w:space="0"/>
              </w:pBdr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  <w:pBdr>
                <w:top w:val="none" w:color="000000" w:sz="8" w:space="0"/>
                <w:left w:val="none" w:color="000000" w:sz="8" w:space="0"/>
                <w:bottom w:val="none" w:color="000000" w:sz="8" w:space="0"/>
                <w:right w:val="none" w:color="000000" w:sz="8" w:space="0"/>
                <w:between w:val="none" w:color="000000" w:sz="8" w:space="0"/>
              </w:pBdr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  <w:pBdr>
                <w:top w:val="none" w:color="000000" w:sz="8" w:space="0"/>
                <w:left w:val="none" w:color="000000" w:sz="8" w:space="0"/>
                <w:bottom w:val="none" w:color="000000" w:sz="8" w:space="0"/>
                <w:right w:val="none" w:color="000000" w:sz="8" w:space="0"/>
                <w:between w:val="none" w:color="000000" w:sz="8" w:space="0"/>
              </w:pBdr>
            </w:pPr>
            <w:r>
              <w:t xml:space="preserve">42.2.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  <w:pBdr>
                <w:top w:val="none" w:color="000000" w:sz="8" w:space="0"/>
                <w:left w:val="none" w:color="000000" w:sz="8" w:space="0"/>
                <w:bottom w:val="none" w:color="000000" w:sz="8" w:space="0"/>
                <w:right w:val="none" w:color="000000" w:sz="8" w:space="0"/>
                <w:between w:val="none" w:color="000000" w:sz="8" w:space="0"/>
              </w:pBdr>
            </w:pPr>
            <w:r>
              <w:t xml:space="preserve">опросов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  <w:pBdr>
                <w:top w:val="none" w:color="000000" w:sz="8" w:space="0"/>
                <w:left w:val="none" w:color="000000" w:sz="8" w:space="0"/>
                <w:bottom w:val="none" w:color="000000" w:sz="8" w:space="0"/>
                <w:right w:val="none" w:color="000000" w:sz="8" w:space="0"/>
                <w:between w:val="none" w:color="000000" w:sz="8" w:space="0"/>
              </w:pBdr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  <w:pBdr>
                <w:top w:val="none" w:color="000000" w:sz="8" w:space="0"/>
                <w:left w:val="none" w:color="000000" w:sz="8" w:space="0"/>
                <w:bottom w:val="none" w:color="000000" w:sz="8" w:space="0"/>
                <w:right w:val="none" w:color="000000" w:sz="8" w:space="0"/>
                <w:between w:val="none" w:color="000000" w:sz="8" w:space="0"/>
              </w:pBdr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  <w:pBdr>
                <w:top w:val="none" w:color="000000" w:sz="8" w:space="0"/>
                <w:left w:val="none" w:color="000000" w:sz="8" w:space="0"/>
                <w:bottom w:val="none" w:color="000000" w:sz="8" w:space="0"/>
                <w:right w:val="none" w:color="000000" w:sz="8" w:space="0"/>
                <w:between w:val="none" w:color="000000" w:sz="8" w:space="0"/>
              </w:pBdr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  <w:pBdr>
                <w:top w:val="none" w:color="000000" w:sz="8" w:space="0"/>
                <w:left w:val="none" w:color="000000" w:sz="8" w:space="0"/>
                <w:bottom w:val="none" w:color="000000" w:sz="8" w:space="0"/>
                <w:right w:val="none" w:color="000000" w:sz="8" w:space="0"/>
                <w:between w:val="none" w:color="000000" w:sz="8" w:space="0"/>
              </w:pBdr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  <w:pBdr>
                <w:top w:val="none" w:color="000000" w:sz="8" w:space="0"/>
                <w:left w:val="none" w:color="000000" w:sz="8" w:space="0"/>
                <w:bottom w:val="none" w:color="000000" w:sz="8" w:space="0"/>
                <w:right w:val="none" w:color="000000" w:sz="8" w:space="0"/>
                <w:between w:val="none" w:color="000000" w:sz="8" w:space="0"/>
              </w:pBdr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  <w:pBdr>
                <w:top w:val="none" w:color="000000" w:sz="8" w:space="0"/>
                <w:left w:val="none" w:color="000000" w:sz="8" w:space="0"/>
                <w:bottom w:val="none" w:color="000000" w:sz="8" w:space="0"/>
                <w:right w:val="none" w:color="000000" w:sz="8" w:space="0"/>
                <w:between w:val="none" w:color="000000" w:sz="8" w:space="0"/>
              </w:pBdr>
            </w:pPr>
            <w:r>
              <w:t xml:space="preserve">42.3.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  <w:pBdr>
                <w:top w:val="none" w:color="000000" w:sz="8" w:space="0"/>
                <w:left w:val="none" w:color="000000" w:sz="8" w:space="0"/>
                <w:bottom w:val="none" w:color="000000" w:sz="8" w:space="0"/>
                <w:right w:val="none" w:color="000000" w:sz="8" w:space="0"/>
                <w:between w:val="none" w:color="000000" w:sz="8" w:space="0"/>
              </w:pBdr>
            </w:pPr>
            <w:r>
              <w:t xml:space="preserve">количество полученных письменных объяснений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  <w:pBdr>
                <w:top w:val="none" w:color="000000" w:sz="8" w:space="0"/>
                <w:left w:val="none" w:color="000000" w:sz="8" w:space="0"/>
                <w:bottom w:val="none" w:color="000000" w:sz="8" w:space="0"/>
                <w:right w:val="none" w:color="000000" w:sz="8" w:space="0"/>
                <w:between w:val="none" w:color="000000" w:sz="8" w:space="0"/>
              </w:pBdr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  <w:pBdr>
                <w:top w:val="none" w:color="000000" w:sz="8" w:space="0"/>
                <w:left w:val="none" w:color="000000" w:sz="8" w:space="0"/>
                <w:bottom w:val="none" w:color="000000" w:sz="8" w:space="0"/>
                <w:right w:val="none" w:color="000000" w:sz="8" w:space="0"/>
                <w:between w:val="none" w:color="000000" w:sz="8" w:space="0"/>
              </w:pBdr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  <w:pBdr>
                <w:top w:val="none" w:color="000000" w:sz="8" w:space="0"/>
                <w:left w:val="none" w:color="000000" w:sz="8" w:space="0"/>
                <w:bottom w:val="none" w:color="000000" w:sz="8" w:space="0"/>
                <w:right w:val="none" w:color="000000" w:sz="8" w:space="0"/>
                <w:between w:val="none" w:color="000000" w:sz="8" w:space="0"/>
              </w:pBdr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  <w:pBdr>
                <w:top w:val="none" w:color="000000" w:sz="8" w:space="0"/>
                <w:left w:val="none" w:color="000000" w:sz="8" w:space="0"/>
                <w:bottom w:val="none" w:color="000000" w:sz="8" w:space="0"/>
                <w:right w:val="none" w:color="000000" w:sz="8" w:space="0"/>
                <w:between w:val="none" w:color="000000" w:sz="8" w:space="0"/>
              </w:pBdr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  <w:pBdr>
                <w:top w:val="none" w:color="000000" w:sz="8" w:space="0"/>
                <w:left w:val="none" w:color="000000" w:sz="8" w:space="0"/>
                <w:bottom w:val="none" w:color="000000" w:sz="8" w:space="0"/>
                <w:right w:val="none" w:color="000000" w:sz="8" w:space="0"/>
                <w:between w:val="none" w:color="000000" w:sz="8" w:space="0"/>
              </w:pBdr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  <w:pBdr>
                <w:top w:val="none" w:color="000000" w:sz="8" w:space="0"/>
                <w:left w:val="none" w:color="000000" w:sz="8" w:space="0"/>
                <w:bottom w:val="none" w:color="000000" w:sz="8" w:space="0"/>
                <w:right w:val="none" w:color="000000" w:sz="8" w:space="0"/>
                <w:between w:val="none" w:color="000000" w:sz="8" w:space="0"/>
              </w:pBdr>
            </w:pPr>
            <w:r>
              <w:t xml:space="preserve">42.4.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  <w:pBdr>
                <w:top w:val="none" w:color="000000" w:sz="8" w:space="0"/>
                <w:left w:val="none" w:color="000000" w:sz="8" w:space="0"/>
                <w:bottom w:val="none" w:color="000000" w:sz="8" w:space="0"/>
                <w:right w:val="none" w:color="000000" w:sz="8" w:space="0"/>
                <w:between w:val="none" w:color="000000" w:sz="8" w:space="0"/>
              </w:pBdr>
            </w:pPr>
            <w:r>
              <w:t xml:space="preserve">количество истребованных документов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  <w:pBdr>
                <w:top w:val="none" w:color="000000" w:sz="8" w:space="0"/>
                <w:left w:val="none" w:color="000000" w:sz="8" w:space="0"/>
                <w:bottom w:val="none" w:color="000000" w:sz="8" w:space="0"/>
                <w:right w:val="none" w:color="000000" w:sz="8" w:space="0"/>
                <w:between w:val="none" w:color="000000" w:sz="8" w:space="0"/>
              </w:pBdr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  <w:pBdr>
                <w:top w:val="none" w:color="000000" w:sz="8" w:space="0"/>
                <w:left w:val="none" w:color="000000" w:sz="8" w:space="0"/>
                <w:bottom w:val="none" w:color="000000" w:sz="8" w:space="0"/>
                <w:right w:val="none" w:color="000000" w:sz="8" w:space="0"/>
                <w:between w:val="none" w:color="000000" w:sz="8" w:space="0"/>
              </w:pBdr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  <w:pBdr>
                <w:top w:val="none" w:color="000000" w:sz="8" w:space="0"/>
                <w:left w:val="none" w:color="000000" w:sz="8" w:space="0"/>
                <w:bottom w:val="none" w:color="000000" w:sz="8" w:space="0"/>
                <w:right w:val="none" w:color="000000" w:sz="8" w:space="0"/>
                <w:between w:val="none" w:color="000000" w:sz="8" w:space="0"/>
              </w:pBdr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  <w:pBdr>
                <w:top w:val="none" w:color="000000" w:sz="8" w:space="0"/>
                <w:left w:val="none" w:color="000000" w:sz="8" w:space="0"/>
                <w:bottom w:val="none" w:color="000000" w:sz="8" w:space="0"/>
                <w:right w:val="none" w:color="000000" w:sz="8" w:space="0"/>
                <w:between w:val="none" w:color="000000" w:sz="8" w:space="0"/>
              </w:pBdr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  <w:pBdr>
                <w:top w:val="none" w:color="000000" w:sz="8" w:space="0"/>
                <w:left w:val="none" w:color="000000" w:sz="8" w:space="0"/>
                <w:bottom w:val="none" w:color="000000" w:sz="8" w:space="0"/>
                <w:right w:val="none" w:color="000000" w:sz="8" w:space="0"/>
                <w:between w:val="none" w:color="000000" w:sz="8" w:space="0"/>
              </w:pBdr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  <w:pBdr>
                <w:top w:val="none" w:color="000000" w:sz="8" w:space="0"/>
                <w:left w:val="none" w:color="000000" w:sz="8" w:space="0"/>
                <w:bottom w:val="none" w:color="000000" w:sz="8" w:space="0"/>
                <w:right w:val="none" w:color="000000" w:sz="8" w:space="0"/>
                <w:between w:val="none" w:color="000000" w:sz="8" w:space="0"/>
              </w:pBdr>
            </w:pPr>
            <w:r>
              <w:t xml:space="preserve">42.5.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  <w:pBdr>
                <w:top w:val="none" w:color="000000" w:sz="8" w:space="0"/>
                <w:left w:val="none" w:color="000000" w:sz="8" w:space="0"/>
                <w:bottom w:val="none" w:color="000000" w:sz="8" w:space="0"/>
                <w:right w:val="none" w:color="000000" w:sz="8" w:space="0"/>
                <w:between w:val="none" w:color="000000" w:sz="8" w:space="0"/>
              </w:pBdr>
            </w:pPr>
            <w:r>
              <w:t xml:space="preserve">инструментальных обследований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  <w:pBdr>
                <w:top w:val="none" w:color="000000" w:sz="8" w:space="0"/>
                <w:left w:val="none" w:color="000000" w:sz="8" w:space="0"/>
                <w:bottom w:val="none" w:color="000000" w:sz="8" w:space="0"/>
                <w:right w:val="none" w:color="000000" w:sz="8" w:space="0"/>
                <w:between w:val="none" w:color="000000" w:sz="8" w:space="0"/>
              </w:pBdr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  <w:pBdr>
                <w:top w:val="none" w:color="000000" w:sz="8" w:space="0"/>
                <w:left w:val="none" w:color="000000" w:sz="8" w:space="0"/>
                <w:bottom w:val="none" w:color="000000" w:sz="8" w:space="0"/>
                <w:right w:val="none" w:color="000000" w:sz="8" w:space="0"/>
                <w:between w:val="none" w:color="000000" w:sz="8" w:space="0"/>
              </w:pBdr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  <w:pBdr>
                <w:top w:val="none" w:color="000000" w:sz="8" w:space="0"/>
                <w:left w:val="none" w:color="000000" w:sz="8" w:space="0"/>
                <w:bottom w:val="none" w:color="000000" w:sz="8" w:space="0"/>
                <w:right w:val="none" w:color="000000" w:sz="8" w:space="0"/>
                <w:between w:val="none" w:color="000000" w:sz="8" w:space="0"/>
              </w:pBdr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  <w:pBdr>
                <w:top w:val="none" w:color="000000" w:sz="8" w:space="0"/>
                <w:left w:val="none" w:color="000000" w:sz="8" w:space="0"/>
                <w:bottom w:val="none" w:color="000000" w:sz="8" w:space="0"/>
                <w:right w:val="none" w:color="000000" w:sz="8" w:space="0"/>
                <w:between w:val="none" w:color="000000" w:sz="8" w:space="0"/>
              </w:pBdr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  <w:pBdr>
                <w:top w:val="none" w:color="000000" w:sz="8" w:space="0"/>
                <w:left w:val="none" w:color="000000" w:sz="8" w:space="0"/>
                <w:bottom w:val="none" w:color="000000" w:sz="8" w:space="0"/>
                <w:right w:val="none" w:color="000000" w:sz="8" w:space="0"/>
                <w:between w:val="none" w:color="000000" w:sz="8" w:space="0"/>
              </w:pBdr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  <w:pBdr>
                <w:top w:val="none" w:color="000000" w:sz="8" w:space="0"/>
                <w:left w:val="none" w:color="000000" w:sz="8" w:space="0"/>
                <w:bottom w:val="none" w:color="000000" w:sz="8" w:space="0"/>
                <w:right w:val="none" w:color="000000" w:sz="8" w:space="0"/>
                <w:between w:val="none" w:color="000000" w:sz="8" w:space="0"/>
              </w:pBdr>
            </w:pPr>
            <w:r>
              <w:t xml:space="preserve">42.6.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  <w:pBdr>
                <w:top w:val="none" w:color="000000" w:sz="8" w:space="0"/>
                <w:left w:val="none" w:color="000000" w:sz="8" w:space="0"/>
                <w:bottom w:val="none" w:color="000000" w:sz="8" w:space="0"/>
                <w:right w:val="none" w:color="000000" w:sz="8" w:space="0"/>
                <w:between w:val="none" w:color="000000" w:sz="8" w:space="0"/>
              </w:pBdr>
            </w:pPr>
            <w:r>
              <w:t xml:space="preserve">экспертиз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  <w:pBdr>
                <w:top w:val="none" w:color="000000" w:sz="8" w:space="0"/>
                <w:left w:val="none" w:color="000000" w:sz="8" w:space="0"/>
                <w:bottom w:val="none" w:color="000000" w:sz="8" w:space="0"/>
                <w:right w:val="none" w:color="000000" w:sz="8" w:space="0"/>
                <w:between w:val="none" w:color="000000" w:sz="8" w:space="0"/>
              </w:pBdr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  <w:pBdr>
                <w:top w:val="none" w:color="000000" w:sz="8" w:space="0"/>
                <w:left w:val="none" w:color="000000" w:sz="8" w:space="0"/>
                <w:bottom w:val="none" w:color="000000" w:sz="8" w:space="0"/>
                <w:right w:val="none" w:color="000000" w:sz="8" w:space="0"/>
                <w:between w:val="none" w:color="000000" w:sz="8" w:space="0"/>
              </w:pBdr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  <w:pBdr>
                <w:top w:val="none" w:color="000000" w:sz="8" w:space="0"/>
                <w:left w:val="none" w:color="000000" w:sz="8" w:space="0"/>
                <w:bottom w:val="none" w:color="000000" w:sz="8" w:space="0"/>
                <w:right w:val="none" w:color="000000" w:sz="8" w:space="0"/>
                <w:between w:val="none" w:color="000000" w:sz="8" w:space="0"/>
              </w:pBdr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  <w:pBdr>
                <w:top w:val="none" w:color="000000" w:sz="8" w:space="0"/>
                <w:left w:val="none" w:color="000000" w:sz="8" w:space="0"/>
                <w:bottom w:val="none" w:color="000000" w:sz="8" w:space="0"/>
                <w:right w:val="none" w:color="000000" w:sz="8" w:space="0"/>
                <w:between w:val="none" w:color="000000" w:sz="8" w:space="0"/>
              </w:pBdr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  <w:pBdr>
                <w:top w:val="none" w:color="000000" w:sz="8" w:space="0"/>
                <w:left w:val="none" w:color="000000" w:sz="8" w:space="0"/>
                <w:bottom w:val="none" w:color="000000" w:sz="8" w:space="0"/>
                <w:right w:val="none" w:color="000000" w:sz="8" w:space="0"/>
                <w:between w:val="none" w:color="000000" w:sz="8" w:space="0"/>
              </w:pBdr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Общее количество КНМ, проведенных с использованием средств дистанционного взаимодействия </w:t>
            </w:r>
            <w:r>
              <w:rPr>
                <w:rFonts w:ascii="Andale Mono" w:hAnsi="Andale Mono" w:eastAsia="Andale Mono" w:cs="Andale Mono"/>
              </w:rPr>
              <w:t xml:space="preserve">-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43.1.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с использованием видео-конференц-связи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43.2.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с использованием мобильного приложения «Инспектор»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44.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нарушений обязательных требований, выявленных при проведении КНМ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44.1.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плановых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44.2.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внеплановых </w:t>
            </w:r>
            <w:r>
              <w:rPr>
                <w:rFonts w:ascii="Andale Mono" w:hAnsi="Andale Mono" w:eastAsia="Andale Mono" w:cs="Andale Mono"/>
              </w:rPr>
              <w:t xml:space="preserve">-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44.2.1.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выездных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44.2.2.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документарных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44.2.3.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инспекционных визитов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45.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устраненных нарушений обязательных требований при проведении КНМ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45.1.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плановых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45.2.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внеплановых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45.2.1.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выездных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45.2.2.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документарных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45.2.3.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инспекционных визитов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46.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Общее время проведения КНМ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часов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46.1.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плановых 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часов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46.2.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внеплановых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часов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46.2.1.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выездных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часов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46.2.2.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документарных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часов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46.2.3.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инспекционных визитов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часов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47.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Общее количество лиц, участвующих в КНМ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человек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48.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фактов неисполнения предписания контрольного (надзорного) органа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49.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лиц, привлеченных к административной ответственности за нарушения обязательных требований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49.1.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юридических лиц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49.2.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должностных лиц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человек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50.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Сумма наложенных административных штрафов за нарушения обязательных требований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тысяч рублей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Сумма уплаченных</w:t>
            </w:r>
            <w:r>
              <w:t xml:space="preserve"> административных штрафов за нарушения обязательных требований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тысяч рублей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1" w:type="dxa"/>
            <w:textDirection w:val="lrTb"/>
            <w:noWrap w:val="false"/>
          </w:tcPr>
          <w:p>
            <w:pPr>
              <w:pStyle w:val="895"/>
              <w:jc w:val="center"/>
              <w:outlineLvl w:val="1"/>
            </w:pPr>
            <w:r>
              <w:t xml:space="preserve">VII. Информация о проведении контрольных (надзорных) мероприятий без взаимодействия с контролируемым лицом (далее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КНМ БВ)</w:t>
            </w:r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Общее количество проведенных КНМ БВ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52.1.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наблюдений за соблюдением обязательных требований (количество заданий)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52.2.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выездных обследований (количество заданий)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Общее количество контрольных (надзорных) действий, совершенных при проведении КНМ БВ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53.1.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осмотров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53.1.1.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с использованием мобильного приложения «Инспектор»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53.2.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инструментальных обследований (с применением видеозаписи)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54.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выявленных нарушений при проведении КНМ БВ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54.1.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наблюдений за соблюдением обязательных требований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81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54.2.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выездных обследований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524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1" w:type="dxa"/>
            <w:textDirection w:val="lrTb"/>
            <w:noWrap w:val="false"/>
          </w:tcPr>
          <w:p>
            <w:pPr>
              <w:pStyle w:val="895"/>
              <w:jc w:val="center"/>
              <w:outlineLvl w:val="1"/>
            </w:pPr>
            <w:r>
              <w:t xml:space="preserve">VIII. Информация о проведении профилактических мероприятий</w:t>
            </w:r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55.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Общее количество проведенных профилактических мероприятий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55.1.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информирований (количество фактов размещения информации на официальном сайте контрольного (надзорного) органа)</w:t>
            </w:r>
            <w:r>
              <w:rPr>
                <w:rStyle w:val="877"/>
              </w:rPr>
              <w:footnoteReference w:id="4"/>
            </w:r>
            <w:r>
              <w:t xml:space="preserve"> 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55.2.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консультирований,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55.2.1.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с использованием мобильного приложения «Инспектор»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55.3.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обобщений правоприменительной практики</w:t>
            </w:r>
            <w:r>
              <w:rPr>
                <w:rStyle w:val="877"/>
              </w:rPr>
              <w:footnoteReference w:id="5"/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55.4.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объявлений предостережения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55.5.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профилактических визитов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55.5.1.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обязательный профилактический визит, из них: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55.5.1.1.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с выявленными нарушениями обязательных требований, из них: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55.5.1.1.1.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по результатам которых выдано предписание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55.5.2.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профилактический визит по инициативе контролируемого лица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55.5.3.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общее количество профилактических визитов, проведенных с использованием средств дистанционного взаимодействия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55.5.3.1.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с использованием видео-конференц-связи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55.5.3.2.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с использованием мобильного приложения «Инспектор»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56.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Общее количество контрольных (надзорных) действий при проведении обязательных профилактических визитов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56.1.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осмотров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 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56.1.1.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с использованием мобильного приложения «Инспектор»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56.2.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истребований документов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56.3.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отборов проб (образцов)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56.4.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инструментальных обследований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56.5.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экспертиз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56.5.1.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с использованием мобильного приложения «Инспектор»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56.6.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испытаний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57.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Самообследование (количество фактов прохождения самообследования на официальном сайте контрольного (надзорного) органа)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из них: 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57.1.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самообследований, по результатам которых приняты и размещены на официальном сайте контрольного (надзорного) органа декларации соблюдения обязательных требований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58.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Меры стимулирования добросовестности (количество проведенных мероприятий)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499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1" w:type="dxa"/>
            <w:textDirection w:val="lrTb"/>
            <w:noWrap w:val="false"/>
          </w:tcPr>
          <w:p>
            <w:pPr>
              <w:pStyle w:val="895"/>
              <w:jc w:val="center"/>
              <w:outlineLvl w:val="1"/>
            </w:pPr>
            <w:r>
              <w:t xml:space="preserve">IX. Информация об оценке эффективности и качества осуществления переданных полномочий</w:t>
            </w:r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59.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не проведенных КНМ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59.1.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плановых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60.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КНМ, результаты которых были признаны недействительными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60.1.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по решению уполномоченного органа, проводившего контрольное (надзорное) мероприятие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60.2.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по решению Ространснадзора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60.3.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по решению территориального органа Ространснадзора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60.4.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по решению суда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60.5.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по представлению (заявлению) прокурора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Освоение субвенции, выделенной из федерального бюджета бюджету субъекта Российской Федерации на осуществление переданных полномочий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%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проведенных КНМ, в результате которых не выявлены нарушения обязательных требований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Число случаев несвоевременного представления в Ространснадзор отчетности об осуществлении органами государственной власти субъектов Российской Федерации переданных полномочий в отчетном году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64.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Число погибших в результате транспортных происшествий, аварий и чрезвычайных ситуаций техногенного характера, произошедших по вине перевозчика </w:t>
            </w:r>
            <w:r>
              <w:t xml:space="preserve">из-за нарушения</w:t>
            </w:r>
            <w:r>
              <w:t xml:space="preserve"> правил технической эксплуатации внеуличного транспорта (за исключением эскалаторов) и правил поль</w:t>
            </w:r>
            <w:r>
              <w:t xml:space="preserve">зования внеуличным транспортом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человек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65.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Число пострадавших, которым был причинен вред здоровью, в результате транспортных происшествий, аварий и чрезвычайных ситуаций техногенного характера, произошедших по вине перевозчика </w:t>
            </w:r>
            <w:r>
              <w:t xml:space="preserve">из-за нарушения</w:t>
            </w:r>
            <w:r>
              <w:t xml:space="preserve"> правил технической эксплуатации вне</w:t>
            </w:r>
            <w:r>
              <w:t xml:space="preserve">уличного транспорта (за исключением эскалаторов) и правил пользования внеуличным транспортом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человек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</w:tbl>
    <w:p>
      <w:pPr>
        <w:pStyle w:val="895"/>
        <w:jc w:val="both"/>
      </w:pPr>
      <w:r/>
      <w:r/>
      <w:r/>
    </w:p>
    <w:tbl>
      <w:tblPr>
        <w:tblW w:w="0" w:type="auto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3230"/>
        <w:gridCol w:w="1474"/>
        <w:gridCol w:w="1304"/>
        <w:gridCol w:w="3913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30" w:type="dxa"/>
            <w:vAlign w:val="bottom"/>
            <w:textDirection w:val="lrTb"/>
            <w:noWrap w:val="false"/>
          </w:tcPr>
          <w:p>
            <w:pPr>
              <w:pStyle w:val="895"/>
            </w:pPr>
            <w:r>
              <w:t xml:space="preserve">Руководитель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74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04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1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30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7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(подпись)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04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13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(инициалы и фамилия)</w:t>
            </w:r>
            <w:r/>
            <w:r/>
          </w:p>
        </w:tc>
      </w:tr>
      <w:tr>
        <w:tblPrEx/>
        <w:trPr/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1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30" w:type="dxa"/>
            <w:textDirection w:val="lrTb"/>
            <w:noWrap w:val="false"/>
          </w:tcPr>
          <w:p>
            <w:pPr>
              <w:pStyle w:val="895"/>
            </w:pPr>
            <w:r>
              <w:t xml:space="preserve">(дата составления отчета)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74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04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1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</w:tbl>
    <w:p>
      <w:pPr>
        <w:pStyle w:val="895"/>
        <w:jc w:val="both"/>
      </w:pPr>
      <w:r/>
      <w:r/>
      <w:r/>
    </w:p>
    <w:p>
      <w:pPr>
        <w:rPr>
          <w:rFonts w:ascii="Times New Roman" w:hAnsi="Times New Roman" w:cs="Times New Roman"/>
          <w:sz w:val="28"/>
          <w:szCs w:val="28"/>
          <w:highlight w:val="none"/>
        </w:rPr>
        <w:sectPr>
          <w:footnotePr/>
          <w:endnotePr/>
          <w:type w:val="nextPage"/>
          <w:pgSz w:w="11906" w:h="16838" w:orient="portrait"/>
          <w:pgMar w:top="1134" w:right="709" w:bottom="1134" w:left="1134" w:header="709" w:footer="709" w:gutter="0"/>
          <w:cols w:num="1" w:sep="0" w:space="708" w:equalWidth="1"/>
          <w:docGrid w:linePitch="360"/>
          <w:titlePg/>
        </w:sect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5"/>
        <w:jc w:val="right"/>
        <w:outlineLvl w:val="0"/>
      </w:pPr>
      <w:r>
        <w:t xml:space="preserve">Приложение № 3</w:t>
      </w:r>
      <w:r/>
      <w:r/>
    </w:p>
    <w:p>
      <w:pPr>
        <w:pStyle w:val="895"/>
        <w:jc w:val="right"/>
      </w:pPr>
      <w:r>
        <w:t xml:space="preserve">к приказу Федеральной службы</w:t>
      </w:r>
      <w:r/>
      <w:r/>
    </w:p>
    <w:p>
      <w:pPr>
        <w:pStyle w:val="895"/>
        <w:jc w:val="right"/>
      </w:pPr>
      <w:r>
        <w:t xml:space="preserve">по надзору в сфере транспорта</w:t>
      </w:r>
      <w:r/>
      <w:r/>
    </w:p>
    <w:p>
      <w:pPr>
        <w:pStyle w:val="895"/>
        <w:jc w:val="right"/>
      </w:pPr>
      <w:r>
        <w:t xml:space="preserve">от ____________ № ________</w:t>
      </w:r>
      <w:r/>
      <w:r/>
    </w:p>
    <w:p>
      <w:pPr>
        <w:pStyle w:val="895"/>
        <w:jc w:val="both"/>
      </w:pPr>
      <w:r/>
      <w:r/>
      <w:r/>
    </w:p>
    <w:p>
      <w:pPr>
        <w:pStyle w:val="895"/>
        <w:jc w:val="right"/>
      </w:pPr>
      <w:r>
        <w:t xml:space="preserve">(Форма)</w:t>
      </w:r>
      <w:r/>
      <w:r/>
    </w:p>
    <w:p>
      <w:pPr>
        <w:jc w:val="right"/>
        <w:spacing w:line="240" w:lineRule="auto"/>
      </w:pPr>
      <w:r/>
      <w:r/>
      <w:r/>
    </w:p>
    <w:tbl>
      <w:tblPr>
        <w:tblW w:w="0" w:type="auto"/>
        <w:tblBorders>
          <w:insideH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275"/>
        <w:gridCol w:w="3658"/>
        <w:gridCol w:w="964"/>
        <w:gridCol w:w="1006"/>
        <w:gridCol w:w="1006"/>
        <w:gridCol w:w="1006"/>
        <w:gridCol w:w="1006"/>
      </w:tblGrid>
      <w:tr>
        <w:tblPrEx/>
        <w:trPr/>
        <w:tc>
          <w:tcPr>
            <w:gridSpan w:val="7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9921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(уполномоченный орган государственной власти субъекта Российской Федерации, осуществляющий переданные полномочия по федеральному государственному контролю (надзору) </w:t>
              <w:br/>
              <w:t xml:space="preserve">за соблюдением правил пользования подвесной канатной дорогой транспортной)</w:t>
            </w:r>
            <w:r/>
            <w:r/>
          </w:p>
        </w:tc>
      </w:tr>
      <w:tr>
        <w:tblPrEx/>
        <w:trPr/>
        <w:tc>
          <w:tcPr>
            <w:gridSpan w:val="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ОТЧЕТ</w:t>
            </w:r>
            <w:r/>
            <w:r/>
          </w:p>
          <w:p>
            <w:pPr>
              <w:pStyle w:val="895"/>
              <w:jc w:val="center"/>
            </w:pPr>
            <w:r>
              <w:t xml:space="preserve">об осуществлении переданных полномочий по федеральному государственному контролю (надзору) за соблюдением правил пользования подвесной канатной дорогой транспортной</w:t>
            </w:r>
            <w:r/>
            <w:r/>
          </w:p>
        </w:tc>
      </w:tr>
      <w:tr>
        <w:tblPrEx/>
        <w:trPr/>
        <w:tc>
          <w:tcPr>
            <w:gridSpan w:val="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в __________________________________________</w:t>
            </w:r>
            <w:r/>
            <w:r/>
          </w:p>
          <w:p>
            <w:pPr>
              <w:pStyle w:val="895"/>
              <w:jc w:val="center"/>
            </w:pPr>
            <w:r>
              <w:t xml:space="preserve">(наименование субъекта Российской Федерации)</w:t>
            </w:r>
            <w:r/>
            <w:r/>
          </w:p>
          <w:p>
            <w:pPr>
              <w:pStyle w:val="895"/>
              <w:jc w:val="center"/>
            </w:pPr>
            <w:r>
              <w:t xml:space="preserve">за период ____________</w:t>
            </w:r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№ п/п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Основные показатели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Единицы измерений</w:t>
            </w:r>
            <w:r/>
            <w:r/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2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Подвесная канатная дорога транспортная</w:t>
            </w:r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continue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continue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continue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2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Текущий месяц</w:t>
            </w:r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2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Нарастающим итогом</w:t>
            </w:r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continue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continue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continue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Год, предшествующий отчетному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Отчетный год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Год, предшествующий отчетному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Отчетный год</w:t>
            </w:r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7</w:t>
            </w:r>
            <w:r/>
            <w:r/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1" w:type="dxa"/>
            <w:textDirection w:val="lrTb"/>
            <w:noWrap w:val="false"/>
          </w:tcPr>
          <w:p>
            <w:pPr>
              <w:pStyle w:val="895"/>
              <w:jc w:val="center"/>
              <w:outlineLvl w:val="1"/>
            </w:pPr>
            <w:r>
              <w:t xml:space="preserve">I. Информация об общей характеристике объекта надзора</w:t>
            </w:r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Эксплуатационная длина подвесной канатной дороги транспортной в однопутном исчислении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км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станций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подвижного состава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перевезенных пассажиров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человек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1" w:type="dxa"/>
            <w:textDirection w:val="lrTb"/>
            <w:noWrap w:val="false"/>
          </w:tcPr>
          <w:p>
            <w:pPr>
              <w:pStyle w:val="895"/>
              <w:jc w:val="center"/>
              <w:outlineLvl w:val="1"/>
            </w:pPr>
            <w:r>
              <w:t xml:space="preserve">II. Информация о соблюдении правил пользования внеуличным транспортом</w:t>
            </w:r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нарушений правил пользования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при организации перевозок пассажиров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провоза ручной клади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5.3.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условий перевозки пассажиров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5.4.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условий провоза ручной клади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нарушений требований к информированию пассажиров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 находящихся: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в подвижном составе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на станциях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7.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Наличие договора страхования гражданской ответственности перевозчика за причинение при перевозках пассажиров вреда их жизни, здоровью, имуществу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да/нет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8.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Наличие договора обязательного </w:t>
            </w:r>
            <w:r>
              <w:t xml:space="preserve">страхования гражданской ответственности за причинение вреда потерпевшим в результате аварии на опасном объекте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да/нет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1" w:type="dxa"/>
            <w:textDirection w:val="lrTb"/>
            <w:noWrap w:val="false"/>
          </w:tcPr>
          <w:p>
            <w:pPr>
              <w:pStyle w:val="895"/>
              <w:jc w:val="center"/>
              <w:outlineLvl w:val="1"/>
            </w:pPr>
            <w:r>
              <w:t xml:space="preserve">III. Информация о доступности для пассажиров из числа инвалидов объектов инфраструктуры и подвижного состава внеуличного транспорта</w:t>
            </w:r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9.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нарушений порядка обеспечения условий доступности для пассажиров из числа инвалидов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9.1.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на объектах инфраструктуры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9.2.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в предоставлении услуг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9.3.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в оказании необходимой помощи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1" w:type="dxa"/>
            <w:textDirection w:val="lrTb"/>
            <w:noWrap w:val="false"/>
          </w:tcPr>
          <w:p>
            <w:pPr>
              <w:pStyle w:val="895"/>
              <w:jc w:val="center"/>
              <w:outlineLvl w:val="1"/>
            </w:pPr>
            <w:r>
              <w:t xml:space="preserve">IV. Информация о проведении контрольных (надзорных) мероприятий с взаимодействием с контролируемым лицом (далее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КНМ)</w:t>
            </w:r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10.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Общее количество проведенных КНМ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10.1.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плановых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10.2.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внеплановых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10.2.1.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выездных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10.2.2.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документарных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10.2.3.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инспекционных визитов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Общее количество контрольных (надзорных) действий, совершенных при проведении КНМ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11.1.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осмотров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11.1.1.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с использованием мобильного приложения «Инспектор»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11.2.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опросов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11.3.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полученных письменных объяснений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11.4.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истребованных документов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11.5.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инструментальных обследований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11.6.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экспертиз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Общее количество КНМ, проведенных с использованием средств дистанционного </w:t>
            </w:r>
            <w:r>
              <w:t xml:space="preserve">взаимодействия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12.1.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с использованием видео-конференц-связи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12.2.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с использованием мобильного приложения «Инспектор»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нарушений обязательных требований, выявленных при проведении КНМ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13.1.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плановых 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13.2.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внеплановых </w:t>
            </w:r>
            <w:r>
              <w:rPr>
                <w:rFonts w:ascii="Andale Mono" w:hAnsi="Andale Mono" w:eastAsia="Andale Mono" w:cs="Andale Mono"/>
              </w:rPr>
              <w:t xml:space="preserve">-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13.2.1.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выездных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13.2.2.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документарных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13.2.3.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инспекционных визитов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14.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устраненных нарушений обязательных требований при проведении КНМ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</w:t>
            </w:r>
            <w:r>
              <w:t xml:space="preserve">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14.1.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плановых 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14.2.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внеплановых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14.2.1.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выездных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14.2.2.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документарных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14.2.3.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инспекционных визитов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15.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устраненных нарушений обязательных требований при проведении КНМ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15.1.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плановых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15.2.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внеплановых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15.2.1.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выездных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15.2.2.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документарных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15.2.3.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инспекционных визитов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16.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Общее время проведения КНМ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часов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16.1.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плановых 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часов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16.2.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внеплановых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часов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16.2.1.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выездных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часов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16.2.2.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документарных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часов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16.2.3.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инспекционных визитов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часов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17.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Общее количество лиц, участвующих в КНМ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человек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18.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лиц, привлеченных к административной ответственности за нарушения обязательных требований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18.1.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юридических лиц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18.2.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должностных лиц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человек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19.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Сумма наложенных административных штрафов за нарушения обязательных требований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тысяч рублей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106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20.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Сумма уплаченных административных штрафов за нарушения обязательных требований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тысяч рублей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1" w:type="dxa"/>
            <w:textDirection w:val="lrTb"/>
            <w:noWrap w:val="false"/>
          </w:tcPr>
          <w:p>
            <w:pPr>
              <w:pStyle w:val="895"/>
              <w:jc w:val="center"/>
              <w:outlineLvl w:val="1"/>
            </w:pPr>
            <w:r>
              <w:t xml:space="preserve">V. Информация о проведении контрольных (надзорных) мероприятий без взаимодействия с контролируемым лицом (далее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t xml:space="preserve">КНМ БВ)</w:t>
            </w:r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Общее количество проведенных КНМ БВ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21.1.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наблюдений за соблюдением обязательных требований (количество заданий)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21.2.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выездных обследований (количество заданий)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Общее количество контрольных (надзорных) действий, совершенных при проведении КНМ БВ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22.1.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осмотров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22.1.1.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с использованием мобильного приложения «Инспектор»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22.2.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инструментальных обследований (с применением видеозаписи)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выявленных нарушений при проведении КНМ БВ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23.1.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наблюдений за соблюдением обязательных требований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23.2.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выездных обследований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1" w:type="dxa"/>
            <w:textDirection w:val="lrTb"/>
            <w:noWrap w:val="false"/>
          </w:tcPr>
          <w:p>
            <w:pPr>
              <w:pStyle w:val="895"/>
              <w:jc w:val="center"/>
              <w:outlineLvl w:val="1"/>
            </w:pPr>
            <w:r>
              <w:t xml:space="preserve">VI. Информация о проведении профилактических мероприятий</w:t>
            </w:r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24.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Общее количество проведенных профилактических мероприятий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24.1.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информирований (количество фактов размещения информации на официальном сайте контрольного </w:t>
            </w:r>
            <w:r>
              <w:t xml:space="preserve">(надзорного) органа)</w:t>
            </w:r>
            <w:r>
              <w:rPr>
                <w:rStyle w:val="877"/>
              </w:rPr>
              <w:footnoteReference w:id="6"/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24.2.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консультирований,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24.2.1.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с использованием мобильного приложения «Инспектор»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64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24.3.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обобщений правоприменительной практики</w:t>
            </w:r>
            <w:r>
              <w:rPr>
                <w:rStyle w:val="877"/>
              </w:rPr>
              <w:footnoteReference w:id="7"/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24.4.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объявлений предостережения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24.5.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профилактических визитов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24.5.1.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обязательный профилактический визит, из них: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24.5.1.1.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с выявленными нарушениями обязательных требований, из них: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24.5.1.1.1.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по результатам которых выдано предписание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24.5.2.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профилактический визит по инициативе контролируемого лица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25.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Общее количество профилактических визитов, проведенных с использованием средств дистанционного взаимодействия,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25.1.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с использованием видео-конференц-связи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25.2.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с использованием мобильного приложения «Инспектор»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26.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Общее количество контрольных (надзорных) действий, совершенных при проведении обязательных профилактических визитов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26.1.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осмотров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26.1.1.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с использованием мобильного приложения «Инспектор»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26.2.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истребований документов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26.3.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отборов проб (образцов)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26.4.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инструментальных обследований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26.5.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экспертиз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26.5.1.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с использованием мобильного приложения «Инспектор»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26.6.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испытаний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27.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Самообследование (количество фактов прохождения самообследования на официальном </w:t>
            </w:r>
            <w:r>
              <w:t xml:space="preserve">сайте контрольного (надзорного) органа)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из них: 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27.1.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самообследований, по результатам которых приняты и размещены на официальном сайте контрольного (надзорного) органа декларации соблюдения обязательных требований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28.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Меры стимулирования добросовестности (количество проведенных мероприятий)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1" w:type="dxa"/>
            <w:textDirection w:val="lrTb"/>
            <w:noWrap w:val="false"/>
          </w:tcPr>
          <w:p>
            <w:pPr>
              <w:pStyle w:val="895"/>
              <w:jc w:val="center"/>
              <w:outlineLvl w:val="1"/>
            </w:pPr>
            <w:r>
              <w:t xml:space="preserve">VII. Информация об оценке эффективности и качества осуществления переданных полномочий</w:t>
            </w:r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29.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не проведенных КНМ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29.1.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плановых 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30.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КНМ, результаты которых были признаны недействительными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30.1.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по решению уполномоченного органа, проводившего контрольное (надзорное) мероприятие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30.2.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по решению Ространснадзора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30.3.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по решению территориального органа Ространснадзора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30.4.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по решению суда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30.5.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по представлению (заявлению) </w:t>
            </w:r>
            <w:r>
              <w:t xml:space="preserve">прокурора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Освоение субвенции, выделенной из федерального бюджета бюджету субъекта Российской Федерации на осуществление переданных полномочий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%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проведенных КНМ, в результате которых не выявлены нарушения обязательных требований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Число случаев несвоевременного представления в Ространснадзор отчетности об осуществлении органами государственной власти субъектов Российской Федерации переданных полномочий в отчетном году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34.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Число погибших в результате транспортных происшествий, аварий и чрезвычайных ситуаций техногенного характера, произошедших по вине перевозчика </w:t>
            </w:r>
            <w:r>
              <w:t xml:space="preserve">из-за нарушения</w:t>
            </w:r>
            <w:r>
              <w:t xml:space="preserve"> правил технической эксплуатации внеуличного транспорта (за исключением эскалаторов) и правил поль</w:t>
            </w:r>
            <w:r>
              <w:t xml:space="preserve">зования внеуличным транспортом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человек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35.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Число пострадавших, которым был причинен вред здоровью, в результате транспортных происшествий, аварий и чрезвычайных ситуаций техногенного характера, произошедших по вине перевозчика </w:t>
            </w:r>
            <w:r>
              <w:t xml:space="preserve">из-за нарушения</w:t>
            </w:r>
            <w:r>
              <w:t xml:space="preserve"> правил технической эксплуатации внеуличного транспорта (за исключением эскалаторов) и правил пользования внеуличным транспортом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человек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</w:tbl>
    <w:p>
      <w:pPr>
        <w:jc w:val="both"/>
        <w:spacing w:line="240" w:lineRule="auto"/>
      </w:pPr>
      <w:r/>
      <w:r/>
      <w:r/>
    </w:p>
    <w:tbl>
      <w:tblPr>
        <w:tblW w:w="0" w:type="auto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3230"/>
        <w:gridCol w:w="1474"/>
        <w:gridCol w:w="1304"/>
        <w:gridCol w:w="3913"/>
      </w:tblGrid>
      <w:tr>
        <w:tblPrEx/>
        <w:trPr>
          <w:trHeight w:val="426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30" w:type="dxa"/>
            <w:vAlign w:val="bottom"/>
            <w:textDirection w:val="lrTb"/>
            <w:noWrap w:val="false"/>
          </w:tcPr>
          <w:p>
            <w:pPr>
              <w:pStyle w:val="895"/>
            </w:pPr>
            <w:r>
              <w:t xml:space="preserve">Руководитель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74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04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1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30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7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(подпись)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04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13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(инициалы и фамилия)</w:t>
            </w:r>
            <w:r/>
            <w:r/>
          </w:p>
        </w:tc>
      </w:tr>
      <w:tr>
        <w:tblPrEx/>
        <w:trPr/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1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30" w:type="dxa"/>
            <w:textDirection w:val="lrTb"/>
            <w:noWrap w:val="false"/>
          </w:tcPr>
          <w:p>
            <w:pPr>
              <w:pStyle w:val="895"/>
            </w:pPr>
            <w:r>
              <w:t xml:space="preserve">(дата составления отчета)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74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04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13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</w:tbl>
    <w:p>
      <w:pPr>
        <w:jc w:val="both"/>
        <w:spacing w:line="240" w:lineRule="auto"/>
      </w:pPr>
      <w:r/>
      <w:r/>
      <w:r/>
    </w:p>
    <w:p>
      <w:pPr>
        <w:rPr>
          <w:rFonts w:ascii="Times New Roman" w:hAnsi="Times New Roman" w:cs="Times New Roman"/>
          <w:sz w:val="28"/>
          <w:szCs w:val="28"/>
          <w:highlight w:val="none"/>
        </w:rPr>
        <w:sectPr>
          <w:footnotePr/>
          <w:endnotePr/>
          <w:type w:val="nextPage"/>
          <w:pgSz w:w="11906" w:h="16838" w:orient="portrait"/>
          <w:pgMar w:top="1134" w:right="709" w:bottom="1134" w:left="1134" w:header="709" w:footer="709" w:gutter="0"/>
          <w:cols w:num="1" w:sep="0" w:space="708" w:equalWidth="1"/>
          <w:docGrid w:linePitch="360"/>
          <w:titlePg/>
        </w:sect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5"/>
        <w:jc w:val="right"/>
        <w:outlineLvl w:val="0"/>
      </w:pPr>
      <w:r>
        <w:t xml:space="preserve">Приложение № 4</w:t>
      </w:r>
      <w:r/>
      <w:r/>
    </w:p>
    <w:p>
      <w:pPr>
        <w:pStyle w:val="895"/>
        <w:jc w:val="right"/>
      </w:pPr>
      <w:r>
        <w:t xml:space="preserve">к приказу Федеральной службы</w:t>
      </w:r>
      <w:r/>
      <w:r/>
    </w:p>
    <w:p>
      <w:pPr>
        <w:pStyle w:val="895"/>
        <w:jc w:val="right"/>
      </w:pPr>
      <w:r>
        <w:t xml:space="preserve">по надзору в сфере транспорта</w:t>
      </w:r>
      <w:r/>
      <w:r/>
    </w:p>
    <w:p>
      <w:pPr>
        <w:pStyle w:val="895"/>
        <w:jc w:val="right"/>
      </w:pPr>
      <w:r>
        <w:t xml:space="preserve">от ____________ № ________</w:t>
      </w:r>
      <w:r/>
      <w:r/>
    </w:p>
    <w:p>
      <w:pPr>
        <w:pStyle w:val="895"/>
        <w:jc w:val="both"/>
      </w:pPr>
      <w:r/>
      <w:r/>
      <w:r/>
    </w:p>
    <w:p>
      <w:pPr>
        <w:pStyle w:val="895"/>
        <w:jc w:val="right"/>
      </w:pPr>
      <w:r>
        <w:t xml:space="preserve">Форма</w:t>
      </w:r>
      <w:r/>
      <w:r/>
    </w:p>
    <w:p>
      <w:pPr>
        <w:jc w:val="right"/>
        <w:spacing w:line="240" w:lineRule="auto"/>
      </w:pPr>
      <w:r/>
      <w:r/>
      <w:r/>
    </w:p>
    <w:tbl>
      <w:tblPr>
        <w:tblW w:w="0" w:type="auto"/>
        <w:tblBorders>
          <w:insideH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275"/>
        <w:gridCol w:w="3658"/>
        <w:gridCol w:w="964"/>
        <w:gridCol w:w="1006"/>
        <w:gridCol w:w="1006"/>
        <w:gridCol w:w="1006"/>
        <w:gridCol w:w="1006"/>
      </w:tblGrid>
      <w:tr>
        <w:tblPrEx/>
        <w:trPr/>
        <w:tc>
          <w:tcPr>
            <w:gridSpan w:val="7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9921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(уполном</w:t>
            </w:r>
            <w:r>
              <w:t xml:space="preserve">оченный орган государственной власти субъекта Российской Федерации, осуществляющий переданные полномочия по федеральному государственному контролю (надзору) </w:t>
              <w:br/>
              <w:t xml:space="preserve">за соблюдением правил пользования фуникулером транспортным (наземной канатной дороги транспортной)</w:t>
            </w:r>
            <w:r/>
            <w:r/>
          </w:p>
        </w:tc>
      </w:tr>
      <w:tr>
        <w:tblPrEx/>
        <w:trPr/>
        <w:tc>
          <w:tcPr>
            <w:gridSpan w:val="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ОТЧЕТ</w:t>
            </w:r>
            <w:r/>
            <w:r/>
          </w:p>
          <w:p>
            <w:pPr>
              <w:pStyle w:val="895"/>
              <w:jc w:val="center"/>
            </w:pPr>
            <w:r>
              <w:t xml:space="preserve">об осуществлении переданных полномочий по федеральному государственному контролю (надзору) за соблюдением правил пользования фуникулером транспортным (наземной канатной дороги транспортной)</w:t>
            </w:r>
            <w:r/>
            <w:r/>
          </w:p>
        </w:tc>
      </w:tr>
      <w:tr>
        <w:tblPrEx/>
        <w:trPr/>
        <w:tc>
          <w:tcPr>
            <w:gridSpan w:val="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21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в __________________________________________</w:t>
            </w:r>
            <w:r/>
            <w:r/>
          </w:p>
          <w:p>
            <w:pPr>
              <w:pStyle w:val="895"/>
              <w:jc w:val="center"/>
            </w:pPr>
            <w:r>
              <w:t xml:space="preserve">(наименование </w:t>
            </w:r>
            <w:r>
              <w:t xml:space="preserve">субъекта Российской Федерации)</w:t>
            </w:r>
            <w:r/>
            <w:r/>
          </w:p>
          <w:p>
            <w:pPr>
              <w:pStyle w:val="895"/>
              <w:jc w:val="center"/>
            </w:pPr>
            <w:r>
              <w:t xml:space="preserve">за период ____________</w:t>
            </w:r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№ п/п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Основные показатели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Единицы измерений</w:t>
            </w:r>
            <w:r/>
            <w:r/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2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Фуникулер транспортный</w:t>
            </w:r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continue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continue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continue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2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Текущий месяц</w:t>
            </w:r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2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Нарастающим итогом</w:t>
            </w:r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continue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continue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continue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Год, предшествующий отчетному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Отчетный год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Год, предшествующий отчетному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Отчетный год</w:t>
            </w:r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7</w:t>
            </w:r>
            <w:r/>
            <w:r/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1" w:type="dxa"/>
            <w:textDirection w:val="lrTb"/>
            <w:noWrap w:val="false"/>
          </w:tcPr>
          <w:p>
            <w:pPr>
              <w:pStyle w:val="895"/>
              <w:jc w:val="center"/>
              <w:outlineLvl w:val="1"/>
            </w:pPr>
            <w:r>
              <w:t xml:space="preserve">I. Информация об общей характеристике объекта надзора</w:t>
            </w:r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Эксплуатационная длина фуникулера транспортного в однопутном исчислении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км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станций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подвижного состава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4.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перевезенных пассажиров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человек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1" w:type="dxa"/>
            <w:textDirection w:val="lrTb"/>
            <w:noWrap w:val="false"/>
          </w:tcPr>
          <w:p>
            <w:pPr>
              <w:pStyle w:val="895"/>
              <w:jc w:val="center"/>
              <w:outlineLvl w:val="1"/>
            </w:pPr>
            <w:r>
              <w:t xml:space="preserve">II. Информация о соблюдении правил пользования внеуличным транспортом</w:t>
            </w:r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нарушений правил пользования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при организации перевозок пассажиров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провоза ручной клади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5.3.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условий перевозки пассажиров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5.4.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условий провоза ручной клади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нарушений требований к информированию пассажиров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 находящихся: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в подвижном составе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6.2.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на станциях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1" w:type="dxa"/>
            <w:textDirection w:val="lrTb"/>
            <w:noWrap w:val="false"/>
          </w:tcPr>
          <w:p>
            <w:pPr>
              <w:pStyle w:val="895"/>
              <w:jc w:val="center"/>
              <w:outlineLvl w:val="1"/>
            </w:pPr>
            <w:r>
              <w:t xml:space="preserve">III. Информация о доступности для пассажиров из числа инвалидов объектов инфраструктуры и подвижного состава внеуличного транспорта</w:t>
            </w:r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7.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нарушений порядка обеспечения условий доступности для пассажиров из числа инвалидов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7.1.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на объектах инфраструктуры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7.2.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в предоставлении услуг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7.3.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в оказании необходимой помощи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1" w:type="dxa"/>
            <w:textDirection w:val="lrTb"/>
            <w:noWrap w:val="false"/>
          </w:tcPr>
          <w:p>
            <w:pPr>
              <w:pStyle w:val="895"/>
              <w:jc w:val="center"/>
              <w:outlineLvl w:val="1"/>
            </w:pPr>
            <w:r>
              <w:t xml:space="preserve">IV. Информация о проведении контрольных (надзорных) мероприятий с взаимодействием с контролируемым лицом (далее - КНМ)</w:t>
            </w:r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8.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Общее количество проведенных КНМ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8.1.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плановых 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8.2.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внеплановых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8.2.1.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выездных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8.2.2.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документарных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8.2.3.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инспекционных визитов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9.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Общее количество контрольных (надзорных) действий, совершенных при проведении КНМ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9.1.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осмотров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9.1.1.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с использованием мобильного приложения «Инспектор»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9.2.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опросов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9.3.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полученных письменных объяснений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9.4.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истребованных документов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9.5.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инструментальных обследований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9.6.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экспертиз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10.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Общее количество КНМ, проведенных с использованием средств дистанционного взаимодействия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10.1.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с использованием видео-конференц-связи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10.2.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с использованием мобильного приложения «Инспектор»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нарушений обязательных требований, выявленных при проведении КНМ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11.1.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плановых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11.2.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внеплановых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11.2.1.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выездных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11.2.2.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документарных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11.2.3.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инспекционных визитов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устраненных нарушений обязательных требований при проведении КНМ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12.1.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плановых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12.2.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внеплановых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12.2.1.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выездных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12.2.2.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документарных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12.2.3.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инспекционных визитов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Общее время проведения КНМ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часов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13.1.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плановых 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часов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13.2.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внеплановых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часов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13.2.1.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выездных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часов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13.2.2.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документарных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часов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13.2.3.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инспекционных визитов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часов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14.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Общее количество лиц, участвующих в КНМ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человек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15.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фактов неисполнения предписания контрольного (надзорного) органа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16.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лиц, привлеченных к административной ответственности за нарушения обязательных требований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16.1.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юридических лиц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16.2.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должностных лиц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человек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17.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Сумма наложенных административных штрафов за нарушения обязательных требований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тысяч рублей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18.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textDirection w:val="lrTb"/>
            <w:noWrap w:val="false"/>
          </w:tcPr>
          <w:p>
            <w:pPr>
              <w:pStyle w:val="895"/>
            </w:pPr>
            <w:r>
              <w:t xml:space="preserve">Сумма уплаченных</w:t>
            </w:r>
            <w:r>
              <w:t xml:space="preserve"> административных штрафов за нарушения обязательных требований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тысяч рублей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1" w:type="dxa"/>
            <w:textDirection w:val="lrTb"/>
            <w:noWrap w:val="false"/>
          </w:tcPr>
          <w:p>
            <w:pPr>
              <w:pStyle w:val="895"/>
              <w:jc w:val="center"/>
              <w:outlineLvl w:val="1"/>
            </w:pPr>
            <w:r>
              <w:t xml:space="preserve">V. Информация о проведении контрольных (надзорных) мероприятий без взаимодействия с контролируемым лицом (далее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КНМ БВ)</w:t>
            </w:r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19.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Align w:val="center"/>
            <w:textDirection w:val="lrTb"/>
            <w:noWrap w:val="false"/>
          </w:tcPr>
          <w:p>
            <w:pPr>
              <w:pStyle w:val="895"/>
            </w:pPr>
            <w:r>
              <w:t xml:space="preserve">Общее количество проведенных КНМ БВ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t xml:space="preserve">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19.1.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Align w:val="center"/>
            <w:textDirection w:val="lrTb"/>
            <w:noWrap w:val="false"/>
          </w:tcPr>
          <w:p>
            <w:pPr>
              <w:pStyle w:val="895"/>
            </w:pPr>
            <w:r>
              <w:t xml:space="preserve">наблюдений за соблюдением обязательных требований (количество заданий)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19.2.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Align w:val="center"/>
            <w:textDirection w:val="lrTb"/>
            <w:noWrap w:val="false"/>
          </w:tcPr>
          <w:p>
            <w:pPr>
              <w:pStyle w:val="895"/>
            </w:pPr>
            <w:r>
              <w:t xml:space="preserve">выездных обследований (количество заданий)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20.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Общее количество контрольных (надзорных) действий, совершенных при проведении КНМ БВ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20.1.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осмотров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20.1.1.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с использованием мобильного приложения «Инспектор»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20.1.2.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инструментальных обследований (с применением видеозаписи)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Align w:val="center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выявленных нарушений при проведении КНМ БВ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21.1.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Align w:val="center"/>
            <w:textDirection w:val="lrTb"/>
            <w:noWrap w:val="false"/>
          </w:tcPr>
          <w:p>
            <w:pPr>
              <w:pStyle w:val="895"/>
            </w:pPr>
            <w:r>
              <w:t xml:space="preserve">наблюдений за соблюдением обязательных требований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21.2.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Align w:val="center"/>
            <w:textDirection w:val="lrTb"/>
            <w:noWrap w:val="false"/>
          </w:tcPr>
          <w:p>
            <w:pPr>
              <w:pStyle w:val="895"/>
            </w:pPr>
            <w:r>
              <w:t xml:space="preserve">выездных обследований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1" w:type="dxa"/>
            <w:textDirection w:val="lrTb"/>
            <w:noWrap w:val="false"/>
          </w:tcPr>
          <w:p>
            <w:pPr>
              <w:pStyle w:val="895"/>
              <w:jc w:val="center"/>
              <w:outlineLvl w:val="1"/>
            </w:pPr>
            <w:r>
              <w:t xml:space="preserve">VI. Информация о проведении профилактических мероприятий</w:t>
            </w:r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Align w:val="center"/>
            <w:textDirection w:val="lrTb"/>
            <w:noWrap w:val="false"/>
          </w:tcPr>
          <w:p>
            <w:pPr>
              <w:pStyle w:val="895"/>
            </w:pPr>
            <w:r>
              <w:t xml:space="preserve">Общее количество проведенных профилактических мероприятий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22.1.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Align w:val="center"/>
            <w:textDirection w:val="lrTb"/>
            <w:noWrap w:val="false"/>
          </w:tcPr>
          <w:p>
            <w:pPr>
              <w:pStyle w:val="895"/>
            </w:pPr>
            <w:r>
              <w:t xml:space="preserve">информирований (количество фактов размещения информации на официальном сайте контрольного (надзорного) органа)</w:t>
            </w:r>
            <w:r>
              <w:rPr>
                <w:rStyle w:val="877"/>
              </w:rPr>
              <w:footnoteReference w:id="8"/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22.2.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Align w:val="center"/>
            <w:textDirection w:val="lrTb"/>
            <w:noWrap w:val="false"/>
          </w:tcPr>
          <w:p>
            <w:pPr>
              <w:pStyle w:val="895"/>
            </w:pPr>
            <w:r>
              <w:t xml:space="preserve">консультирований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22.2.1.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с применением мобильного приложения «Инспектор»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22.3.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Align w:val="center"/>
            <w:textDirection w:val="lrTb"/>
            <w:noWrap w:val="false"/>
          </w:tcPr>
          <w:p>
            <w:pPr>
              <w:pStyle w:val="895"/>
            </w:pPr>
            <w:r>
              <w:t xml:space="preserve">обобщений правоприменительной практики</w:t>
            </w:r>
            <w:r>
              <w:rPr>
                <w:rStyle w:val="877"/>
              </w:rPr>
              <w:footnoteReference w:id="9"/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22.4.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Align w:val="center"/>
            <w:textDirection w:val="lrTb"/>
            <w:noWrap w:val="false"/>
          </w:tcPr>
          <w:p>
            <w:pPr>
              <w:pStyle w:val="895"/>
            </w:pPr>
            <w:r>
              <w:t xml:space="preserve">объявлений предостережения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22.5.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Align w:val="center"/>
            <w:textDirection w:val="lrTb"/>
            <w:noWrap w:val="false"/>
          </w:tcPr>
          <w:p>
            <w:pPr>
              <w:pStyle w:val="895"/>
            </w:pPr>
            <w:r>
              <w:t xml:space="preserve">профилактических визитов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22.5.1.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обязательный профилактический визит, из них: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22.5.1.1.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с выявленными нарушениями обязательных требований, из них: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22.5.1.1.1.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по результатам которых выданы </w:t>
            </w:r>
            <w:r>
              <w:t xml:space="preserve">предписания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22.5.2.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профилактический визит по инициативе контролируемого лица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Общее количество профилактических визитов, проведенных с использованием средств дистанционного взаимодействия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23.1.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с использованием видео-конференц-связи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23.2.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с использованием мобильного приложения «Инспектор»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24.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Общее количество контрольных (надзорных) действий, совершенных при проведении обязательных профилактических визитов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24.1.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осмотров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24.1.1.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с использованием мобильного приложения «Инспектор»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24.2.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истребованных документов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24.3.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отборов проб (образцов)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24.4.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инструментальных обследований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24.5.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экспертиз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24.5.1.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с использованием мобильного приложения «Инспектор»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24.6.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испытаний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25.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Самообследование (количество фактов прохождения самообследования на официальном сайте контрольного (надзорного) органа)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из них: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25.1.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самообследований, по результатам которых приняты и размещены на официальном сайте контрольного (надзорного) органа декларации соблюдения обязательных требований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26.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Меры стимулирования добросовестности (количество проведенных мероприятий)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  <w:p>
            <w:pPr>
              <w:pStyle w:val="895"/>
            </w:pPr>
            <w:r/>
            <w:r/>
            <w:r/>
          </w:p>
          <w:p>
            <w:pPr>
              <w:pStyle w:val="895"/>
            </w:pPr>
            <w:r/>
            <w:r/>
            <w:r/>
          </w:p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1" w:type="dxa"/>
            <w:textDirection w:val="lrTb"/>
            <w:noWrap w:val="false"/>
          </w:tcPr>
          <w:p>
            <w:pPr>
              <w:pStyle w:val="895"/>
              <w:jc w:val="center"/>
              <w:outlineLvl w:val="1"/>
            </w:pPr>
            <w:r>
              <w:t xml:space="preserve">VII. Информация об оценке эффективности и качества осуществления переданных полномочий</w:t>
            </w:r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27.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Align w:val="center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не проведенных КНМ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27.1.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Align w:val="center"/>
            <w:textDirection w:val="lrTb"/>
            <w:noWrap w:val="false"/>
          </w:tcPr>
          <w:p>
            <w:pPr>
              <w:pStyle w:val="895"/>
            </w:pPr>
            <w:r>
              <w:t xml:space="preserve">плановых 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28.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Align w:val="center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КНМ, результаты которых были признаны недействительными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–</w:t>
            </w:r>
            <w:r>
              <w:t xml:space="preserve"> всего, в том числе: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28.1.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по решению уполномоченного органа, проводившего контрольное (надзорное) мероприятие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28.2.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по решению Ространснадзора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28.3.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по решению территориального орган Ространснадзора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28.4.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Align w:val="center"/>
            <w:textDirection w:val="lrTb"/>
            <w:noWrap w:val="false"/>
          </w:tcPr>
          <w:p>
            <w:pPr>
              <w:pStyle w:val="895"/>
            </w:pPr>
            <w:r>
              <w:t xml:space="preserve">по решению суда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28.5.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Align w:val="center"/>
            <w:textDirection w:val="lrTb"/>
            <w:noWrap w:val="false"/>
          </w:tcPr>
          <w:p>
            <w:pPr>
              <w:pStyle w:val="895"/>
            </w:pPr>
            <w:r>
              <w:t xml:space="preserve">по представлению (заявлению) прокурора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29.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Освоение субвенции, выделенной из федерального бюджета бюджету субъекта Российской Федерации на осуществление переданных полномочий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%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30.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</w:pPr>
            <w:r>
              <w:t xml:space="preserve">Количество КНМ, в результате которых не выявлены нарушения обязательных тре</w:t>
            </w:r>
            <w:r>
              <w:t xml:space="preserve">бований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vMerge w:val="restart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vMerge w:val="restart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Align w:val="center"/>
            <w:textDirection w:val="lrTb"/>
            <w:noWrap w:val="false"/>
          </w:tcPr>
          <w:p>
            <w:pPr>
              <w:pStyle w:val="895"/>
            </w:pPr>
            <w:r>
              <w:t xml:space="preserve">Число случаев несвоевременного представления в Ространснадзор отчетности об осуществлении органами государственной власти субъектов Российской Федерации переданных полномочий в отчетном году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единиц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Align w:val="center"/>
            <w:textDirection w:val="lrTb"/>
            <w:noWrap w:val="false"/>
          </w:tcPr>
          <w:p>
            <w:pPr>
              <w:pStyle w:val="895"/>
            </w:pPr>
            <w:r>
              <w:t xml:space="preserve">Число погибших в результате транспортных происшествий, аварий и чрезвычайных ситуаций техногенного характера, произошедших по вине перевозчика </w:t>
            </w:r>
            <w:r>
              <w:t xml:space="preserve">из-за </w:t>
            </w:r>
            <w:r>
              <w:t xml:space="preserve">нарушения</w:t>
            </w:r>
            <w:r>
              <w:t xml:space="preserve"> правил технической эксплуатации внеуличного транспорта (за исключением эскалаторов) и правил поль</w:t>
            </w:r>
            <w:r>
              <w:t xml:space="preserve">зования внеуличным транспортом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человек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33.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8" w:type="dxa"/>
            <w:vAlign w:val="center"/>
            <w:textDirection w:val="lrTb"/>
            <w:noWrap w:val="false"/>
          </w:tcPr>
          <w:p>
            <w:pPr>
              <w:pStyle w:val="895"/>
            </w:pPr>
            <w:r>
              <w:t xml:space="preserve">Число пострадавших, которым был причинен вред здоровью, в результате транспортных происшествий, аварий и чрезвычайных ситуаций техногенного характера, произошедших по вине перевозчика </w:t>
            </w:r>
            <w:r>
              <w:t xml:space="preserve">из-за нарушения</w:t>
            </w:r>
            <w:r>
              <w:t xml:space="preserve"> правил технической эксплуатации внеуличного транспорта (за исключением эскалаторов) и правил пользования внеуличным транспортом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человек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</w:tbl>
    <w:p>
      <w:pPr>
        <w:jc w:val="both"/>
        <w:spacing w:line="240" w:lineRule="auto"/>
      </w:pPr>
      <w:r/>
      <w:r/>
      <w:r/>
    </w:p>
    <w:tbl>
      <w:tblPr>
        <w:tblW w:w="0" w:type="auto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3230"/>
        <w:gridCol w:w="1474"/>
        <w:gridCol w:w="1304"/>
        <w:gridCol w:w="3059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30" w:type="dxa"/>
            <w:vAlign w:val="bottom"/>
            <w:textDirection w:val="lrTb"/>
            <w:noWrap w:val="false"/>
          </w:tcPr>
          <w:p>
            <w:pPr>
              <w:pStyle w:val="895"/>
            </w:pPr>
            <w:r>
              <w:t xml:space="preserve">Руководитель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74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04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59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30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74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(подпись)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04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59" w:type="dxa"/>
            <w:textDirection w:val="lrTb"/>
            <w:noWrap w:val="false"/>
          </w:tcPr>
          <w:p>
            <w:pPr>
              <w:pStyle w:val="895"/>
              <w:jc w:val="center"/>
            </w:pPr>
            <w:r>
              <w:t xml:space="preserve">(инициалы и фамилия)</w:t>
            </w:r>
            <w:r/>
            <w:r/>
          </w:p>
        </w:tc>
      </w:tr>
      <w:tr>
        <w:tblPrEx/>
        <w:trPr/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67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30" w:type="dxa"/>
            <w:textDirection w:val="lrTb"/>
            <w:noWrap w:val="false"/>
          </w:tcPr>
          <w:p>
            <w:pPr>
              <w:pStyle w:val="895"/>
            </w:pPr>
            <w:r>
              <w:t xml:space="preserve">(дата составления отчета)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74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04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59" w:type="dxa"/>
            <w:textDirection w:val="lrTb"/>
            <w:noWrap w:val="false"/>
          </w:tcPr>
          <w:p>
            <w:pPr>
              <w:pStyle w:val="895"/>
            </w:pPr>
            <w:r/>
            <w:r/>
            <w:r/>
          </w:p>
        </w:tc>
      </w:tr>
    </w:tbl>
    <w:p>
      <w:pPr>
        <w:jc w:val="both"/>
        <w:spacing w:line="240" w:lineRule="auto"/>
      </w:pPr>
      <w:r/>
      <w:r/>
      <w:r/>
    </w:p>
    <w:p>
      <w:pPr>
        <w:jc w:val="both"/>
      </w:pPr>
      <w:r/>
      <w:r/>
      <w:r/>
    </w:p>
    <w:p>
      <w:pPr>
        <w:jc w:val="both"/>
      </w:pPr>
      <w:r/>
      <w:r/>
      <w:r/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  <w:r/>
    </w:p>
    <w:sectPr>
      <w:footnotePr/>
      <w:endnotePr/>
      <w:type w:val="nextPage"/>
      <w:pgSz w:w="11906" w:h="16838" w:orient="portrait"/>
      <w:pgMar w:top="1134" w:right="709" w:bottom="1134" w:left="113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ndale Mono">
    <w:panose1 w:val="020B0509000000000004"/>
  </w:font>
  <w:font w:name="Times New Roman">
    <w:panose1 w:val="02020603050405020304"/>
  </w:font>
  <w:font w:name="Liberation Sans">
    <w:panose1 w:val="020B0604020202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4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75"/>
        <w:ind w:left="0" w:right="1" w:firstLine="0"/>
        <w:jc w:val="both"/>
        <w:spacing w:after="0" w:afterAutospacing="0"/>
        <w:rPr>
          <w:rFonts w:ascii="Times New Roman" w:hAnsi="Times New Roman" w:cs="Times New Roman"/>
          <w:sz w:val="20"/>
          <w:szCs w:val="20"/>
        </w:rPr>
      </w:pPr>
      <w:r>
        <w:rPr>
          <w:rStyle w:val="877"/>
          <w:rFonts w:ascii="Times New Roman" w:hAnsi="Times New Roman" w:eastAsia="Times New Roman" w:cs="Times New Roman"/>
        </w:rPr>
        <w:footnoteRef/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Статья 46 Федерального закона от 31 июля 2020 г. № 248-ФЗ «О государственном контроле (надзоре) и муниципальном контроле в Российской Федерации».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</w:footnote>
  <w:footnote w:id="3">
    <w:p>
      <w:pPr>
        <w:pStyle w:val="875"/>
        <w:jc w:val="both"/>
        <w:spacing w:after="0" w:afterAutospacing="0"/>
      </w:pPr>
      <w:r>
        <w:rPr>
          <w:rStyle w:val="877"/>
          <w:rFonts w:ascii="Times New Roman" w:hAnsi="Times New Roman" w:eastAsia="Times New Roman" w:cs="Times New Roman"/>
        </w:rPr>
        <w:footnoteRef/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Пункты 23, 24 Положени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я о федеральном государственном контроле (надзоре) за соблюдением правил технической эксплуатации внеуличного транспорта и правил пользования внеуличным транспортом, утвержденного постановлением Правительства Российской Федерации от 25 июня 2021 г. № 1003.</w:t>
      </w:r>
      <w:r/>
      <w:r/>
    </w:p>
  </w:footnote>
  <w:footnote w:id="4">
    <w:p>
      <w:pPr>
        <w:pStyle w:val="875"/>
        <w:jc w:val="both"/>
        <w:spacing w:after="0" w:afterAutospacing="0"/>
        <w:rPr>
          <w:rFonts w:ascii="Times New Roman" w:hAnsi="Times New Roman" w:cs="Times New Roman"/>
          <w:sz w:val="20"/>
          <w:szCs w:val="20"/>
        </w:rPr>
      </w:pPr>
      <w:r>
        <w:rPr>
          <w:rStyle w:val="877"/>
          <w:rFonts w:ascii="Times New Roman" w:hAnsi="Times New Roman" w:eastAsia="Times New Roman" w:cs="Times New Roman"/>
        </w:rPr>
        <w:footnoteRef/>
      </w:r>
      <w: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Статья 46 Федерального закона от 31 июля 2020 г. № 248-ФЗ «О государственном контроле (надзоре) и муниципальном контроле в Российской Федерации».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</w:footnote>
  <w:footnote w:id="5">
    <w:p>
      <w:pPr>
        <w:pStyle w:val="875"/>
        <w:jc w:val="both"/>
        <w:spacing w:after="0" w:afterAutospacing="0"/>
      </w:pPr>
      <w:r>
        <w:rPr>
          <w:rStyle w:val="877"/>
          <w:rFonts w:ascii="Times New Roman" w:hAnsi="Times New Roman" w:eastAsia="Times New Roman" w:cs="Times New Roman"/>
          <w:sz w:val="18"/>
          <w:szCs w:val="18"/>
        </w:rPr>
        <w:footnoteRef/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Пункт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ы 23, 24 Положения о федеральном государственном контроле (надзоре) за соблюдением правил технической эксплуатации внеуличного транспорта и правил пользования внеуличным транспортом, утвержденного постановлением Правительства Российской Федерации от 25 июн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я 2021 г. № 1003.</w:t>
      </w:r>
      <w:r/>
      <w:r/>
    </w:p>
  </w:footnote>
  <w:footnote w:id="6">
    <w:p>
      <w:pPr>
        <w:pStyle w:val="875"/>
        <w:spacing w:after="0" w:afterAutospacing="0"/>
        <w:rPr>
          <w:rFonts w:ascii="Times New Roman" w:hAnsi="Times New Roman" w:cs="Times New Roman"/>
        </w:rPr>
      </w:pPr>
      <w:r>
        <w:rPr>
          <w:rStyle w:val="877"/>
          <w:rFonts w:ascii="Times New Roman" w:hAnsi="Times New Roman" w:eastAsia="Times New Roman" w:cs="Times New Roman"/>
          <w:sz w:val="18"/>
          <w:szCs w:val="18"/>
        </w:rPr>
        <w:footnoteRef/>
      </w:r>
      <w:r>
        <w:rPr>
          <w:rFonts w:ascii="Times New Roman" w:hAnsi="Times New Roman" w:eastAsia="Times New Roman" w:cs="Times New Roman"/>
          <w:sz w:val="20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Статья 46 Федерального закона от 31 июля 2020 г. № 248-ФЗ «О государственном контроле (надзоре) и муниципальном контроле в Российской Федерации».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</w:footnote>
  <w:footnote w:id="7">
    <w:p>
      <w:pPr>
        <w:pStyle w:val="875"/>
        <w:jc w:val="both"/>
        <w:spacing w:after="0" w:afterAutospacing="0"/>
        <w:rPr>
          <w:rFonts w:ascii="Times New Roman" w:hAnsi="Times New Roman" w:eastAsia="Times New Roman" w:cs="Times New Roman"/>
          <w:sz w:val="20"/>
          <w:szCs w:val="20"/>
          <w:highlight w:val="none"/>
        </w:rPr>
      </w:pPr>
      <w:r>
        <w:rPr>
          <w:rStyle w:val="877"/>
          <w:rFonts w:ascii="Times New Roman" w:hAnsi="Times New Roman" w:eastAsia="Times New Roman" w:cs="Times New Roman"/>
          <w:sz w:val="18"/>
          <w:szCs w:val="18"/>
        </w:rPr>
        <w:footnoteRef/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Пункты 23, 24 Положения о федеральном государственном контроле (надзоре) за соблюдением правил технической эксплуатации внеуличного транспорта и правил пользования внеуличным транспортом, утвержденного постановлением Правительства Российской Федерации от 2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5 июня 2021 г. № 1003.</w:t>
      </w:r>
      <w:r>
        <w:rPr>
          <w:rFonts w:ascii="Times New Roman" w:hAnsi="Times New Roman" w:eastAsia="Times New Roman" w:cs="Times New Roman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sz w:val="20"/>
          <w:szCs w:val="20"/>
          <w:highlight w:val="none"/>
        </w:rPr>
      </w:r>
    </w:p>
  </w:footnote>
  <w:footnote w:id="8">
    <w:p>
      <w:pPr>
        <w:pStyle w:val="875"/>
        <w:jc w:val="both"/>
        <w:spacing w:after="0" w:afterAutospacing="0"/>
        <w:rPr>
          <w:rFonts w:ascii="Times New Roman" w:hAnsi="Times New Roman" w:cs="Times New Roman"/>
          <w:sz w:val="20"/>
          <w:szCs w:val="20"/>
        </w:rPr>
      </w:pPr>
      <w:r>
        <w:rPr>
          <w:rStyle w:val="877"/>
          <w:rFonts w:ascii="Times New Roman" w:hAnsi="Times New Roman" w:eastAsia="Times New Roman" w:cs="Times New Roman"/>
        </w:rPr>
        <w:footnoteRef/>
      </w:r>
      <w: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Статья 46 Федерального закона от 31 июля 2020 г. № 248-ФЗ «О государственном контроле (надзоре) и муниципальном контроле в Российской Федерации».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</w:footnote>
  <w:footnote w:id="9">
    <w:p>
      <w:pPr>
        <w:pStyle w:val="875"/>
        <w:jc w:val="both"/>
        <w:spacing w:after="0" w:afterAutospacing="0"/>
        <w:rPr>
          <w:rFonts w:ascii="Times New Roman" w:hAnsi="Times New Roman" w:cs="Times New Roman"/>
          <w:sz w:val="20"/>
          <w:szCs w:val="20"/>
        </w:rPr>
      </w:pPr>
      <w:r>
        <w:rPr>
          <w:rStyle w:val="877"/>
          <w:rFonts w:ascii="Times New Roman" w:hAnsi="Times New Roman" w:eastAsia="Times New Roman" w:cs="Times New Roman"/>
          <w:sz w:val="18"/>
          <w:szCs w:val="18"/>
        </w:rPr>
        <w:footnoteRef/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Пункт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ы 23, 24 Положения о федеральном государственном контроле (надзоре) за соблюдением правил технической эксплуатации внеуличного транспорта и правил пользования внеуличным транспортом, утвержденного постановлением Правительства Российской Федерации от 25 июн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я 2021 г. № 1003.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2"/>
      <w:jc w:val="center"/>
      <w:rPr>
        <w:rFonts w:ascii="Times New Roman" w:hAnsi="Times New Roman" w:cs="Times New Roman"/>
      </w:rPr>
    </w:pPr>
    <w:r/>
    <w:r>
      <w:instrText xml:space="preserve">PAGE \* MERGEFORMAT</w:instrText>
    </w:r>
    <w:r>
      <w:rPr>
        <w:rFonts w:ascii="Times New Roman" w:hAnsi="Times New Roman" w:cs="Times New Roman"/>
      </w:rPr>
    </w:r>
  </w:p>
  <w:p>
    <w:pPr>
      <w:pStyle w:val="742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2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4">
    <w:name w:val="Heading 1 Char"/>
    <w:basedOn w:val="722"/>
    <w:link w:val="713"/>
    <w:uiPriority w:val="9"/>
    <w:rPr>
      <w:rFonts w:ascii="Arial" w:hAnsi="Arial" w:eastAsia="Arial" w:cs="Arial"/>
      <w:sz w:val="40"/>
      <w:szCs w:val="40"/>
    </w:rPr>
  </w:style>
  <w:style w:type="character" w:styleId="695">
    <w:name w:val="Heading 2 Char"/>
    <w:basedOn w:val="722"/>
    <w:link w:val="714"/>
    <w:uiPriority w:val="9"/>
    <w:rPr>
      <w:rFonts w:ascii="Arial" w:hAnsi="Arial" w:eastAsia="Arial" w:cs="Arial"/>
      <w:sz w:val="34"/>
    </w:rPr>
  </w:style>
  <w:style w:type="character" w:styleId="696">
    <w:name w:val="Heading 3 Char"/>
    <w:basedOn w:val="722"/>
    <w:link w:val="715"/>
    <w:uiPriority w:val="9"/>
    <w:rPr>
      <w:rFonts w:ascii="Arial" w:hAnsi="Arial" w:eastAsia="Arial" w:cs="Arial"/>
      <w:sz w:val="30"/>
      <w:szCs w:val="30"/>
    </w:rPr>
  </w:style>
  <w:style w:type="character" w:styleId="697">
    <w:name w:val="Heading 4 Char"/>
    <w:basedOn w:val="722"/>
    <w:link w:val="716"/>
    <w:uiPriority w:val="9"/>
    <w:rPr>
      <w:rFonts w:ascii="Arial" w:hAnsi="Arial" w:eastAsia="Arial" w:cs="Arial"/>
      <w:b/>
      <w:bCs/>
      <w:sz w:val="26"/>
      <w:szCs w:val="26"/>
    </w:rPr>
  </w:style>
  <w:style w:type="character" w:styleId="698">
    <w:name w:val="Heading 5 Char"/>
    <w:basedOn w:val="722"/>
    <w:link w:val="717"/>
    <w:uiPriority w:val="9"/>
    <w:rPr>
      <w:rFonts w:ascii="Arial" w:hAnsi="Arial" w:eastAsia="Arial" w:cs="Arial"/>
      <w:b/>
      <w:bCs/>
      <w:sz w:val="24"/>
      <w:szCs w:val="24"/>
    </w:rPr>
  </w:style>
  <w:style w:type="character" w:styleId="699">
    <w:name w:val="Heading 6 Char"/>
    <w:basedOn w:val="722"/>
    <w:link w:val="718"/>
    <w:uiPriority w:val="9"/>
    <w:rPr>
      <w:rFonts w:ascii="Arial" w:hAnsi="Arial" w:eastAsia="Arial" w:cs="Arial"/>
      <w:b/>
      <w:bCs/>
      <w:sz w:val="22"/>
      <w:szCs w:val="22"/>
    </w:rPr>
  </w:style>
  <w:style w:type="character" w:styleId="700">
    <w:name w:val="Heading 7 Char"/>
    <w:basedOn w:val="722"/>
    <w:link w:val="71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1">
    <w:name w:val="Heading 8 Char"/>
    <w:basedOn w:val="722"/>
    <w:link w:val="720"/>
    <w:uiPriority w:val="9"/>
    <w:rPr>
      <w:rFonts w:ascii="Arial" w:hAnsi="Arial" w:eastAsia="Arial" w:cs="Arial"/>
      <w:i/>
      <w:iCs/>
      <w:sz w:val="22"/>
      <w:szCs w:val="22"/>
    </w:rPr>
  </w:style>
  <w:style w:type="character" w:styleId="702">
    <w:name w:val="Heading 9 Char"/>
    <w:basedOn w:val="722"/>
    <w:link w:val="721"/>
    <w:uiPriority w:val="9"/>
    <w:rPr>
      <w:rFonts w:ascii="Arial" w:hAnsi="Arial" w:eastAsia="Arial" w:cs="Arial"/>
      <w:i/>
      <w:iCs/>
      <w:sz w:val="21"/>
      <w:szCs w:val="21"/>
    </w:rPr>
  </w:style>
  <w:style w:type="character" w:styleId="703">
    <w:name w:val="Title Char"/>
    <w:basedOn w:val="722"/>
    <w:link w:val="734"/>
    <w:uiPriority w:val="10"/>
    <w:rPr>
      <w:sz w:val="48"/>
      <w:szCs w:val="48"/>
    </w:rPr>
  </w:style>
  <w:style w:type="character" w:styleId="704">
    <w:name w:val="Subtitle Char"/>
    <w:basedOn w:val="722"/>
    <w:link w:val="736"/>
    <w:uiPriority w:val="11"/>
    <w:rPr>
      <w:sz w:val="24"/>
      <w:szCs w:val="24"/>
    </w:rPr>
  </w:style>
  <w:style w:type="character" w:styleId="705">
    <w:name w:val="Quote Char"/>
    <w:link w:val="738"/>
    <w:uiPriority w:val="29"/>
    <w:rPr>
      <w:i/>
    </w:rPr>
  </w:style>
  <w:style w:type="character" w:styleId="706">
    <w:name w:val="Intense Quote Char"/>
    <w:link w:val="740"/>
    <w:uiPriority w:val="30"/>
    <w:rPr>
      <w:i/>
    </w:rPr>
  </w:style>
  <w:style w:type="character" w:styleId="707">
    <w:name w:val="Header Char"/>
    <w:basedOn w:val="722"/>
    <w:link w:val="742"/>
    <w:uiPriority w:val="99"/>
  </w:style>
  <w:style w:type="character" w:styleId="708">
    <w:name w:val="Footer Char"/>
    <w:basedOn w:val="722"/>
    <w:link w:val="744"/>
    <w:uiPriority w:val="99"/>
  </w:style>
  <w:style w:type="character" w:styleId="709">
    <w:name w:val="Caption Char"/>
    <w:basedOn w:val="722"/>
    <w:link w:val="746"/>
    <w:uiPriority w:val="35"/>
    <w:rPr>
      <w:b/>
      <w:bCs/>
      <w:color w:val="4f81bd" w:themeColor="accent1"/>
      <w:sz w:val="18"/>
      <w:szCs w:val="18"/>
    </w:rPr>
  </w:style>
  <w:style w:type="character" w:styleId="710">
    <w:name w:val="Footnote Text Char"/>
    <w:link w:val="875"/>
    <w:uiPriority w:val="99"/>
    <w:rPr>
      <w:sz w:val="18"/>
    </w:rPr>
  </w:style>
  <w:style w:type="character" w:styleId="711">
    <w:name w:val="Endnote Text Char"/>
    <w:link w:val="878"/>
    <w:uiPriority w:val="99"/>
    <w:rPr>
      <w:sz w:val="20"/>
    </w:rPr>
  </w:style>
  <w:style w:type="paragraph" w:styleId="712" w:default="1">
    <w:name w:val="Normal"/>
    <w:qFormat/>
  </w:style>
  <w:style w:type="paragraph" w:styleId="713">
    <w:name w:val="Heading 1"/>
    <w:basedOn w:val="712"/>
    <w:next w:val="712"/>
    <w:link w:val="725"/>
    <w:uiPriority w:val="9"/>
    <w:qFormat/>
    <w:pPr>
      <w:keepLines/>
      <w:keepNext/>
      <w:spacing w:before="48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714">
    <w:name w:val="Heading 2"/>
    <w:basedOn w:val="712"/>
    <w:next w:val="712"/>
    <w:link w:val="726"/>
    <w:uiPriority w:val="9"/>
    <w:unhideWhenUsed/>
    <w:qFormat/>
    <w:pPr>
      <w:keepLines/>
      <w:keepNext/>
      <w:spacing w:before="360"/>
      <w:outlineLvl w:val="1"/>
    </w:pPr>
    <w:rPr>
      <w:rFonts w:ascii="Liberation Sans" w:hAnsi="Liberation Sans" w:eastAsia="Liberation Sans" w:cs="Liberation Sans"/>
      <w:sz w:val="34"/>
    </w:rPr>
  </w:style>
  <w:style w:type="paragraph" w:styleId="715">
    <w:name w:val="Heading 3"/>
    <w:basedOn w:val="712"/>
    <w:next w:val="712"/>
    <w:link w:val="727"/>
    <w:uiPriority w:val="9"/>
    <w:unhideWhenUsed/>
    <w:qFormat/>
    <w:pPr>
      <w:keepLines/>
      <w:keepNext/>
      <w:spacing w:before="32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716">
    <w:name w:val="Heading 4"/>
    <w:basedOn w:val="712"/>
    <w:next w:val="712"/>
    <w:link w:val="728"/>
    <w:uiPriority w:val="9"/>
    <w:unhideWhenUsed/>
    <w:qFormat/>
    <w:pPr>
      <w:keepLines/>
      <w:keepNext/>
      <w:spacing w:before="32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17">
    <w:name w:val="Heading 5"/>
    <w:basedOn w:val="712"/>
    <w:next w:val="712"/>
    <w:link w:val="729"/>
    <w:uiPriority w:val="9"/>
    <w:unhideWhenUsed/>
    <w:qFormat/>
    <w:pPr>
      <w:keepLines/>
      <w:keepNext/>
      <w:spacing w:before="32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18">
    <w:name w:val="Heading 6"/>
    <w:basedOn w:val="712"/>
    <w:next w:val="712"/>
    <w:link w:val="730"/>
    <w:uiPriority w:val="9"/>
    <w:unhideWhenUsed/>
    <w:qFormat/>
    <w:pPr>
      <w:keepLines/>
      <w:keepNext/>
      <w:spacing w:before="320"/>
      <w:outlineLvl w:val="5"/>
    </w:pPr>
    <w:rPr>
      <w:rFonts w:ascii="Liberation Sans" w:hAnsi="Liberation Sans" w:eastAsia="Liberation Sans" w:cs="Liberation Sans"/>
      <w:b/>
      <w:bCs/>
    </w:rPr>
  </w:style>
  <w:style w:type="paragraph" w:styleId="719">
    <w:name w:val="Heading 7"/>
    <w:basedOn w:val="712"/>
    <w:next w:val="712"/>
    <w:link w:val="731"/>
    <w:uiPriority w:val="9"/>
    <w:unhideWhenUsed/>
    <w:qFormat/>
    <w:pPr>
      <w:keepLines/>
      <w:keepNext/>
      <w:spacing w:before="320"/>
      <w:outlineLvl w:val="6"/>
    </w:pPr>
    <w:rPr>
      <w:rFonts w:ascii="Liberation Sans" w:hAnsi="Liberation Sans" w:eastAsia="Liberation Sans" w:cs="Liberation Sans"/>
      <w:b/>
      <w:bCs/>
      <w:i/>
      <w:iCs/>
    </w:rPr>
  </w:style>
  <w:style w:type="paragraph" w:styleId="720">
    <w:name w:val="Heading 8"/>
    <w:basedOn w:val="712"/>
    <w:next w:val="712"/>
    <w:link w:val="732"/>
    <w:uiPriority w:val="9"/>
    <w:unhideWhenUsed/>
    <w:qFormat/>
    <w:pPr>
      <w:keepLines/>
      <w:keepNext/>
      <w:spacing w:before="320"/>
      <w:outlineLvl w:val="7"/>
    </w:pPr>
    <w:rPr>
      <w:rFonts w:ascii="Liberation Sans" w:hAnsi="Liberation Sans" w:eastAsia="Liberation Sans" w:cs="Liberation Sans"/>
      <w:i/>
      <w:iCs/>
    </w:rPr>
  </w:style>
  <w:style w:type="paragraph" w:styleId="721">
    <w:name w:val="Heading 9"/>
    <w:basedOn w:val="712"/>
    <w:next w:val="712"/>
    <w:link w:val="733"/>
    <w:uiPriority w:val="9"/>
    <w:unhideWhenUsed/>
    <w:qFormat/>
    <w:pPr>
      <w:keepLines/>
      <w:keepNext/>
      <w:spacing w:before="32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22" w:default="1">
    <w:name w:val="Default Paragraph Font"/>
    <w:uiPriority w:val="1"/>
    <w:semiHidden/>
    <w:unhideWhenUsed/>
  </w:style>
  <w:style w:type="table" w:styleId="72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4" w:default="1">
    <w:name w:val="No List"/>
    <w:uiPriority w:val="99"/>
    <w:semiHidden/>
    <w:unhideWhenUsed/>
  </w:style>
  <w:style w:type="character" w:styleId="725" w:customStyle="1">
    <w:name w:val="Заголовок 1 Знак"/>
    <w:link w:val="713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26" w:customStyle="1">
    <w:name w:val="Заголовок 2 Знак"/>
    <w:link w:val="714"/>
    <w:uiPriority w:val="9"/>
    <w:rPr>
      <w:rFonts w:ascii="Liberation Sans" w:hAnsi="Liberation Sans" w:eastAsia="Liberation Sans" w:cs="Liberation Sans"/>
      <w:sz w:val="34"/>
    </w:rPr>
  </w:style>
  <w:style w:type="character" w:styleId="727" w:customStyle="1">
    <w:name w:val="Заголовок 3 Знак"/>
    <w:link w:val="715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28" w:customStyle="1">
    <w:name w:val="Заголовок 4 Знак"/>
    <w:link w:val="716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29" w:customStyle="1">
    <w:name w:val="Заголовок 5 Знак"/>
    <w:link w:val="717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30" w:customStyle="1">
    <w:name w:val="Заголовок 6 Знак"/>
    <w:link w:val="718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31" w:customStyle="1">
    <w:name w:val="Заголовок 7 Знак"/>
    <w:link w:val="719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32" w:customStyle="1">
    <w:name w:val="Заголовок 8 Знак"/>
    <w:link w:val="720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33" w:customStyle="1">
    <w:name w:val="Заголовок 9 Знак"/>
    <w:link w:val="72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34">
    <w:name w:val="Title"/>
    <w:basedOn w:val="712"/>
    <w:next w:val="712"/>
    <w:link w:val="735"/>
    <w:uiPriority w:val="10"/>
    <w:qFormat/>
    <w:pPr>
      <w:contextualSpacing/>
      <w:spacing w:before="300"/>
    </w:pPr>
    <w:rPr>
      <w:sz w:val="48"/>
      <w:szCs w:val="48"/>
    </w:rPr>
  </w:style>
  <w:style w:type="character" w:styleId="735" w:customStyle="1">
    <w:name w:val="Заголовок Знак"/>
    <w:link w:val="734"/>
    <w:uiPriority w:val="10"/>
    <w:rPr>
      <w:sz w:val="48"/>
      <w:szCs w:val="48"/>
    </w:rPr>
  </w:style>
  <w:style w:type="paragraph" w:styleId="736">
    <w:name w:val="Subtitle"/>
    <w:basedOn w:val="712"/>
    <w:next w:val="712"/>
    <w:link w:val="737"/>
    <w:uiPriority w:val="11"/>
    <w:qFormat/>
    <w:pPr>
      <w:spacing w:before="200"/>
    </w:pPr>
    <w:rPr>
      <w:sz w:val="24"/>
      <w:szCs w:val="24"/>
    </w:rPr>
  </w:style>
  <w:style w:type="character" w:styleId="737" w:customStyle="1">
    <w:name w:val="Подзаголовок Знак"/>
    <w:link w:val="736"/>
    <w:uiPriority w:val="11"/>
    <w:rPr>
      <w:sz w:val="24"/>
      <w:szCs w:val="24"/>
    </w:rPr>
  </w:style>
  <w:style w:type="paragraph" w:styleId="738">
    <w:name w:val="Quote"/>
    <w:basedOn w:val="712"/>
    <w:next w:val="712"/>
    <w:link w:val="739"/>
    <w:uiPriority w:val="29"/>
    <w:qFormat/>
    <w:pPr>
      <w:ind w:left="720" w:right="720"/>
    </w:pPr>
    <w:rPr>
      <w:i/>
    </w:rPr>
  </w:style>
  <w:style w:type="character" w:styleId="739" w:customStyle="1">
    <w:name w:val="Цитата 2 Знак"/>
    <w:link w:val="738"/>
    <w:uiPriority w:val="29"/>
    <w:rPr>
      <w:i/>
    </w:rPr>
  </w:style>
  <w:style w:type="paragraph" w:styleId="740">
    <w:name w:val="Intense Quote"/>
    <w:basedOn w:val="712"/>
    <w:next w:val="712"/>
    <w:link w:val="74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1" w:customStyle="1">
    <w:name w:val="Выделенная цитата Знак"/>
    <w:link w:val="740"/>
    <w:uiPriority w:val="30"/>
    <w:rPr>
      <w:i/>
    </w:rPr>
  </w:style>
  <w:style w:type="paragraph" w:styleId="742">
    <w:name w:val="Header"/>
    <w:basedOn w:val="712"/>
    <w:link w:val="7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3" w:customStyle="1">
    <w:name w:val="Верхний колонтитул Знак"/>
    <w:link w:val="742"/>
    <w:uiPriority w:val="99"/>
  </w:style>
  <w:style w:type="paragraph" w:styleId="744">
    <w:name w:val="Footer"/>
    <w:basedOn w:val="712"/>
    <w:link w:val="7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5" w:customStyle="1">
    <w:name w:val="Нижний колонтитул Знак"/>
    <w:link w:val="744"/>
    <w:uiPriority w:val="99"/>
  </w:style>
  <w:style w:type="paragraph" w:styleId="746">
    <w:name w:val="Caption"/>
    <w:basedOn w:val="712"/>
    <w:next w:val="712"/>
    <w:link w:val="747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747" w:customStyle="1">
    <w:name w:val="Название объекта Знак"/>
    <w:link w:val="746"/>
    <w:uiPriority w:val="35"/>
    <w:rPr>
      <w:b/>
      <w:bCs/>
      <w:color w:val="5b9bd5" w:themeColor="accent1"/>
      <w:sz w:val="18"/>
      <w:szCs w:val="18"/>
    </w:rPr>
  </w:style>
  <w:style w:type="table" w:styleId="748">
    <w:name w:val="Table Grid"/>
    <w:basedOn w:val="723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49" w:customStyle="1">
    <w:name w:val="Table Grid Light"/>
    <w:basedOn w:val="72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50">
    <w:name w:val="Plain Table 1"/>
    <w:basedOn w:val="72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51">
    <w:name w:val="Plain Table 2"/>
    <w:basedOn w:val="723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52">
    <w:name w:val="Plain Table 3"/>
    <w:basedOn w:val="72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3">
    <w:name w:val="Plain Table 4"/>
    <w:basedOn w:val="72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Plain Table 5"/>
    <w:basedOn w:val="72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5">
    <w:name w:val="Grid Table 1 Light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 w:customStyle="1">
    <w:name w:val="Grid Table 1 Light - Accent 1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 w:customStyle="1">
    <w:name w:val="Grid Table 1 Light - Accent 2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 w:customStyle="1">
    <w:name w:val="Grid Table 1 Light - Accent 3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 w:customStyle="1">
    <w:name w:val="Grid Table 1 Light - Accent 4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 w:customStyle="1">
    <w:name w:val="Grid Table 1 Light - Accent 5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 w:customStyle="1">
    <w:name w:val="Grid Table 1 Light - Accent 6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Grid Table 2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2 - Accent 1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2 - Accent 2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2 - Accent 3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2 - Accent 4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2 - Accent 5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2 - Accent 6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3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3 - Accent 1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3 - Accent 2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3 - Accent 3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3 - Accent 4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3 - Accent 5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3 - Accent 6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4"/>
    <w:basedOn w:val="723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7" w:customStyle="1">
    <w:name w:val="Grid Table 4 - Accent 1"/>
    <w:basedOn w:val="723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78" w:customStyle="1">
    <w:name w:val="Grid Table 4 - Accent 2"/>
    <w:basedOn w:val="723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79" w:customStyle="1">
    <w:name w:val="Grid Table 4 - Accent 3"/>
    <w:basedOn w:val="723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80" w:customStyle="1">
    <w:name w:val="Grid Table 4 - Accent 4"/>
    <w:basedOn w:val="723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81" w:customStyle="1">
    <w:name w:val="Grid Table 4 - Accent 5"/>
    <w:basedOn w:val="723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82" w:customStyle="1">
    <w:name w:val="Grid Table 4 - Accent 6"/>
    <w:basedOn w:val="723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83">
    <w:name w:val="Grid Table 5 Dark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4" w:customStyle="1">
    <w:name w:val="Grid Table 5 Dark- Accent 1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85" w:customStyle="1">
    <w:name w:val="Grid Table 5 Dark - Accent 2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86" w:customStyle="1">
    <w:name w:val="Grid Table 5 Dark - Accent 3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87" w:customStyle="1">
    <w:name w:val="Grid Table 5 Dark- Accent 4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88" w:customStyle="1">
    <w:name w:val="Grid Table 5 Dark - Accent 5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89" w:customStyle="1">
    <w:name w:val="Grid Table 5 Dark - Accent 6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90">
    <w:name w:val="Grid Table 6 Colorful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91" w:customStyle="1">
    <w:name w:val="Grid Table 6 Colorful - Accent 1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Liberation Sans" w:hAnsi="Liberation Sans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92" w:customStyle="1">
    <w:name w:val="Grid Table 6 Colorful - Accent 2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93" w:customStyle="1">
    <w:name w:val="Grid Table 6 Colorful - Accent 3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94" w:customStyle="1">
    <w:name w:val="Grid Table 6 Colorful - Accent 4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95" w:customStyle="1">
    <w:name w:val="Grid Table 6 Colorful - Accent 5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96" w:customStyle="1">
    <w:name w:val="Grid Table 6 Colorful - Accent 6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97">
    <w:name w:val="Grid Table 7 Colorful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7 Colorful - Accent 1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Liberation Sans" w:hAnsi="Liberation Sans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7 Colorful - Accent 2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7 Colorful - Accent 3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7 Colorful - Accent 4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Grid Table 7 Colorful - Accent 5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rFonts w:ascii="Liberation Sans" w:hAnsi="Liberation Sans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Grid Table 7 Colorful - Accent 6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  <w:tblStylePr w:type="firstCol">
      <w:rPr>
        <w:rFonts w:ascii="Liberation Sans" w:hAnsi="Liberation Sans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List Table 1 Light"/>
    <w:basedOn w:val="72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List Table 1 Light - Accent 1"/>
    <w:basedOn w:val="72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List Table 1 Light - Accent 2"/>
    <w:basedOn w:val="72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List Table 1 Light - Accent 3"/>
    <w:basedOn w:val="72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1 Light - Accent 4"/>
    <w:basedOn w:val="72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List Table 1 Light - Accent 5"/>
    <w:basedOn w:val="72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List Table 1 Light - Accent 6"/>
    <w:basedOn w:val="72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List Table 2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12" w:customStyle="1">
    <w:name w:val="List Table 2 - Accent 1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13" w:customStyle="1">
    <w:name w:val="List Table 2 - Accent 2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14" w:customStyle="1">
    <w:name w:val="List Table 2 - Accent 3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15" w:customStyle="1">
    <w:name w:val="List Table 2 - Accent 4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16" w:customStyle="1">
    <w:name w:val="List Table 2 - Accent 5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17" w:customStyle="1">
    <w:name w:val="List Table 2 - Accent 6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18">
    <w:name w:val="List Table 3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3 - Accent 1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3 - Accent 2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3 - Accent 3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3 - Accent 4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List Table 3 - Accent 5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3 - Accent 6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4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4 - Accent 1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4 - Accent 2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4 - Accent 3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4 - Accent 4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List Table 4 - Accent 5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List Table 4 - Accent 6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5 Dark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33" w:customStyle="1">
    <w:name w:val="List Table 5 Dark - Accent 1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34" w:customStyle="1">
    <w:name w:val="List Table 5 Dark - Accent 2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35" w:customStyle="1">
    <w:name w:val="List Table 5 Dark - Accent 3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36" w:customStyle="1">
    <w:name w:val="List Table 5 Dark - Accent 4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37" w:customStyle="1">
    <w:name w:val="List Table 5 Dark - Accent 5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38" w:customStyle="1">
    <w:name w:val="List Table 5 Dark - Accent 6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39">
    <w:name w:val="List Table 6 Colorful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40" w:customStyle="1">
    <w:name w:val="List Table 6 Colorful - Accent 1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Liberation Sans" w:hAnsi="Liberation Sans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41" w:customStyle="1">
    <w:name w:val="List Table 6 Colorful - Accent 2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42" w:customStyle="1">
    <w:name w:val="List Table 6 Colorful - Accent 3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43" w:customStyle="1">
    <w:name w:val="List Table 6 Colorful - Accent 4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44" w:customStyle="1">
    <w:name w:val="List Table 6 Colorful - Accent 5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Liberation Sans" w:hAnsi="Liberation Sans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45" w:customStyle="1">
    <w:name w:val="List Table 6 Colorful - Accent 6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46">
    <w:name w:val="List Table 7 Colorful"/>
    <w:basedOn w:val="72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List Table 7 Colorful - Accent 1"/>
    <w:basedOn w:val="72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Liberation Sans" w:hAnsi="Liberation Sans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  <w:tblStylePr w:type="firstCol">
      <w:rPr>
        <w:rFonts w:ascii="Liberation Sans" w:hAnsi="Liberation Sans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List Table 7 Colorful - Accent 2"/>
    <w:basedOn w:val="72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List Table 7 Colorful - Accent 3"/>
    <w:basedOn w:val="72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List Table 7 Colorful - Accent 4"/>
    <w:basedOn w:val="72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List Table 7 Colorful - Accent 5"/>
    <w:basedOn w:val="72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Liberation Sans" w:hAnsi="Liberation Sans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 w:customStyle="1">
    <w:name w:val="List Table 7 Colorful - Accent 6"/>
    <w:basedOn w:val="72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 w:customStyle="1">
    <w:name w:val="Lined - Accent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4" w:customStyle="1">
    <w:name w:val="Lined - Accent 1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55" w:customStyle="1">
    <w:name w:val="Lined - Accent 2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56" w:customStyle="1">
    <w:name w:val="Lined - Accent 3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57" w:customStyle="1">
    <w:name w:val="Lined - Accent 4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58" w:customStyle="1">
    <w:name w:val="Lined - Accent 5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59" w:customStyle="1">
    <w:name w:val="Lined - Accent 6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60" w:customStyle="1">
    <w:name w:val="Bordered &amp; Lined - Accent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1" w:customStyle="1">
    <w:name w:val="Bordered &amp; Lined - Accent 1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62" w:customStyle="1">
    <w:name w:val="Bordered &amp; Lined - Accent 2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63" w:customStyle="1">
    <w:name w:val="Bordered &amp; Lined - Accent 3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64" w:customStyle="1">
    <w:name w:val="Bordered &amp; Lined - Accent 4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65" w:customStyle="1">
    <w:name w:val="Bordered &amp; Lined - Accent 5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66" w:customStyle="1">
    <w:name w:val="Bordered &amp; Lined - Accent 6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67" w:customStyle="1">
    <w:name w:val="Bordered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68" w:customStyle="1">
    <w:name w:val="Bordered - Accent 1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69" w:customStyle="1">
    <w:name w:val="Bordered - Accent 2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70" w:customStyle="1">
    <w:name w:val="Bordered - Accent 3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71" w:customStyle="1">
    <w:name w:val="Bordered - Accent 4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72" w:customStyle="1">
    <w:name w:val="Bordered - Accent 5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73" w:customStyle="1">
    <w:name w:val="Bordered - Accent 6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74">
    <w:name w:val="Hyperlink"/>
    <w:uiPriority w:val="99"/>
    <w:unhideWhenUsed/>
    <w:rPr>
      <w:color w:val="0563c1" w:themeColor="hyperlink"/>
      <w:u w:val="single"/>
    </w:rPr>
  </w:style>
  <w:style w:type="paragraph" w:styleId="875">
    <w:name w:val="footnote text"/>
    <w:basedOn w:val="712"/>
    <w:link w:val="876"/>
    <w:uiPriority w:val="99"/>
    <w:semiHidden/>
    <w:unhideWhenUsed/>
    <w:pPr>
      <w:spacing w:after="40" w:line="240" w:lineRule="auto"/>
    </w:pPr>
    <w:rPr>
      <w:sz w:val="18"/>
    </w:rPr>
  </w:style>
  <w:style w:type="character" w:styleId="876" w:customStyle="1">
    <w:name w:val="Текст сноски Знак"/>
    <w:link w:val="875"/>
    <w:uiPriority w:val="99"/>
    <w:rPr>
      <w:sz w:val="18"/>
    </w:rPr>
  </w:style>
  <w:style w:type="character" w:styleId="877">
    <w:name w:val="footnote reference"/>
    <w:uiPriority w:val="99"/>
    <w:unhideWhenUsed/>
    <w:rPr>
      <w:vertAlign w:val="superscript"/>
    </w:rPr>
  </w:style>
  <w:style w:type="paragraph" w:styleId="878">
    <w:name w:val="endnote text"/>
    <w:basedOn w:val="712"/>
    <w:link w:val="879"/>
    <w:uiPriority w:val="99"/>
    <w:semiHidden/>
    <w:unhideWhenUsed/>
    <w:pPr>
      <w:spacing w:after="0" w:line="240" w:lineRule="auto"/>
    </w:pPr>
    <w:rPr>
      <w:sz w:val="20"/>
    </w:rPr>
  </w:style>
  <w:style w:type="character" w:styleId="879" w:customStyle="1">
    <w:name w:val="Текст концевой сноски Знак"/>
    <w:link w:val="878"/>
    <w:uiPriority w:val="99"/>
    <w:rPr>
      <w:sz w:val="20"/>
    </w:rPr>
  </w:style>
  <w:style w:type="character" w:styleId="880">
    <w:name w:val="endnote reference"/>
    <w:uiPriority w:val="99"/>
    <w:semiHidden/>
    <w:unhideWhenUsed/>
    <w:rPr>
      <w:vertAlign w:val="superscript"/>
    </w:rPr>
  </w:style>
  <w:style w:type="paragraph" w:styleId="881">
    <w:name w:val="toc 1"/>
    <w:basedOn w:val="712"/>
    <w:next w:val="712"/>
    <w:uiPriority w:val="39"/>
    <w:unhideWhenUsed/>
    <w:pPr>
      <w:spacing w:after="57"/>
    </w:pPr>
  </w:style>
  <w:style w:type="paragraph" w:styleId="882">
    <w:name w:val="toc 2"/>
    <w:basedOn w:val="712"/>
    <w:next w:val="712"/>
    <w:uiPriority w:val="39"/>
    <w:unhideWhenUsed/>
    <w:pPr>
      <w:ind w:left="283"/>
      <w:spacing w:after="57"/>
    </w:pPr>
  </w:style>
  <w:style w:type="paragraph" w:styleId="883">
    <w:name w:val="toc 3"/>
    <w:basedOn w:val="712"/>
    <w:next w:val="712"/>
    <w:uiPriority w:val="39"/>
    <w:unhideWhenUsed/>
    <w:pPr>
      <w:ind w:left="567"/>
      <w:spacing w:after="57"/>
    </w:pPr>
  </w:style>
  <w:style w:type="paragraph" w:styleId="884">
    <w:name w:val="toc 4"/>
    <w:basedOn w:val="712"/>
    <w:next w:val="712"/>
    <w:uiPriority w:val="39"/>
    <w:unhideWhenUsed/>
    <w:pPr>
      <w:ind w:left="850"/>
      <w:spacing w:after="57"/>
    </w:pPr>
  </w:style>
  <w:style w:type="paragraph" w:styleId="885">
    <w:name w:val="toc 5"/>
    <w:basedOn w:val="712"/>
    <w:next w:val="712"/>
    <w:uiPriority w:val="39"/>
    <w:unhideWhenUsed/>
    <w:pPr>
      <w:ind w:left="1134"/>
      <w:spacing w:after="57"/>
    </w:pPr>
  </w:style>
  <w:style w:type="paragraph" w:styleId="886">
    <w:name w:val="toc 6"/>
    <w:basedOn w:val="712"/>
    <w:next w:val="712"/>
    <w:uiPriority w:val="39"/>
    <w:unhideWhenUsed/>
    <w:pPr>
      <w:ind w:left="1417"/>
      <w:spacing w:after="57"/>
    </w:pPr>
  </w:style>
  <w:style w:type="paragraph" w:styleId="887">
    <w:name w:val="toc 7"/>
    <w:basedOn w:val="712"/>
    <w:next w:val="712"/>
    <w:uiPriority w:val="39"/>
    <w:unhideWhenUsed/>
    <w:pPr>
      <w:ind w:left="1701"/>
      <w:spacing w:after="57"/>
    </w:pPr>
  </w:style>
  <w:style w:type="paragraph" w:styleId="888">
    <w:name w:val="toc 8"/>
    <w:basedOn w:val="712"/>
    <w:next w:val="712"/>
    <w:uiPriority w:val="39"/>
    <w:unhideWhenUsed/>
    <w:pPr>
      <w:ind w:left="1984"/>
      <w:spacing w:after="57"/>
    </w:pPr>
  </w:style>
  <w:style w:type="paragraph" w:styleId="889">
    <w:name w:val="toc 9"/>
    <w:basedOn w:val="712"/>
    <w:next w:val="712"/>
    <w:uiPriority w:val="39"/>
    <w:unhideWhenUsed/>
    <w:pPr>
      <w:ind w:left="2268"/>
      <w:spacing w:after="57"/>
    </w:pPr>
  </w:style>
  <w:style w:type="paragraph" w:styleId="890">
    <w:name w:val="TOC Heading"/>
    <w:uiPriority w:val="39"/>
    <w:unhideWhenUsed/>
  </w:style>
  <w:style w:type="paragraph" w:styleId="891">
    <w:name w:val="table of figures"/>
    <w:basedOn w:val="712"/>
    <w:next w:val="712"/>
    <w:uiPriority w:val="99"/>
    <w:unhideWhenUsed/>
    <w:pPr>
      <w:spacing w:after="0"/>
    </w:pPr>
  </w:style>
  <w:style w:type="paragraph" w:styleId="892">
    <w:name w:val="No Spacing"/>
    <w:basedOn w:val="712"/>
    <w:uiPriority w:val="1"/>
    <w:qFormat/>
    <w:pPr>
      <w:spacing w:after="0" w:line="240" w:lineRule="auto"/>
    </w:pPr>
  </w:style>
  <w:style w:type="paragraph" w:styleId="893">
    <w:name w:val="List Paragraph"/>
    <w:basedOn w:val="712"/>
    <w:uiPriority w:val="34"/>
    <w:qFormat/>
    <w:pPr>
      <w:contextualSpacing/>
      <w:ind w:left="720"/>
    </w:pPr>
  </w:style>
  <w:style w:type="paragraph" w:styleId="894" w:customStyle="1">
    <w:name w:val="ConsPlusTitle"/>
    <w:pPr>
      <w:spacing w:after="0" w:line="240" w:lineRule="auto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eastAsia="Times New Roman" w:cs="Arial"/>
      <w:b/>
      <w:sz w:val="24"/>
      <w:szCs w:val="20"/>
      <w:lang w:eastAsia="ru-RU"/>
    </w:rPr>
  </w:style>
  <w:style w:type="paragraph" w:styleId="895" w:customStyle="1">
    <w:name w:val="ConsPlusNormal"/>
    <w:pPr>
      <w:spacing w:after="0" w:line="240" w:lineRule="auto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24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fedorova_ss</cp:lastModifiedBy>
  <cp:revision>6</cp:revision>
  <dcterms:created xsi:type="dcterms:W3CDTF">2026-09-04T08:20:00Z</dcterms:created>
  <dcterms:modified xsi:type="dcterms:W3CDTF">2026-09-15T14:31:16Z</dcterms:modified>
</cp:coreProperties>
</file>