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D5" w:rsidRPr="00013842" w:rsidRDefault="00436CD5" w:rsidP="00436CD5">
      <w:pPr>
        <w:shd w:val="clear" w:color="auto" w:fill="FFFFFF"/>
        <w:ind w:firstLine="708"/>
        <w:jc w:val="center"/>
        <w:rPr>
          <w:b/>
          <w:sz w:val="26"/>
          <w:szCs w:val="26"/>
        </w:rPr>
      </w:pPr>
      <w:r w:rsidRPr="00013842">
        <w:rPr>
          <w:b/>
          <w:sz w:val="26"/>
          <w:szCs w:val="26"/>
        </w:rPr>
        <w:t>Описание объекта закупки</w:t>
      </w:r>
    </w:p>
    <w:p w:rsidR="00436CD5" w:rsidRPr="00013842" w:rsidRDefault="00436CD5" w:rsidP="00436CD5">
      <w:pPr>
        <w:shd w:val="clear" w:color="auto" w:fill="FFFFFF"/>
        <w:ind w:firstLine="708"/>
        <w:jc w:val="center"/>
        <w:rPr>
          <w:b/>
          <w:sz w:val="26"/>
          <w:szCs w:val="26"/>
        </w:rPr>
      </w:pPr>
      <w:r w:rsidRPr="00013842">
        <w:rPr>
          <w:b/>
          <w:sz w:val="26"/>
          <w:szCs w:val="26"/>
        </w:rPr>
        <w:t>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36CD5" w:rsidRPr="00013842" w:rsidRDefault="00436CD5" w:rsidP="00436CD5">
      <w:pPr>
        <w:shd w:val="clear" w:color="auto" w:fill="FFFFFF"/>
        <w:ind w:firstLine="708"/>
        <w:jc w:val="center"/>
        <w:rPr>
          <w:b/>
          <w:sz w:val="26"/>
          <w:szCs w:val="26"/>
        </w:rPr>
      </w:pPr>
      <w:r w:rsidRPr="00013842">
        <w:rPr>
          <w:b/>
          <w:sz w:val="26"/>
          <w:szCs w:val="26"/>
        </w:rPr>
        <w:t>(Спецификация)</w:t>
      </w:r>
    </w:p>
    <w:p w:rsidR="00436CD5" w:rsidRPr="00013842" w:rsidRDefault="00436CD5" w:rsidP="00436CD5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013842">
        <w:rPr>
          <w:b/>
          <w:sz w:val="26"/>
          <w:szCs w:val="26"/>
        </w:rPr>
        <w:t>1.</w:t>
      </w:r>
      <w:r w:rsidRPr="00013842">
        <w:rPr>
          <w:b/>
          <w:sz w:val="26"/>
          <w:szCs w:val="26"/>
        </w:rPr>
        <w:tab/>
        <w:t xml:space="preserve">Наименование объекта закупки, предмет контракта: </w:t>
      </w:r>
      <w:r w:rsidRPr="00013842">
        <w:rPr>
          <w:sz w:val="26"/>
          <w:szCs w:val="26"/>
        </w:rPr>
        <w:t>Поставка сервера.</w:t>
      </w:r>
    </w:p>
    <w:p w:rsidR="00436CD5" w:rsidRPr="00013842" w:rsidRDefault="00436CD5" w:rsidP="00436CD5">
      <w:pPr>
        <w:shd w:val="clear" w:color="auto" w:fill="FFFFFF"/>
        <w:ind w:firstLine="708"/>
        <w:jc w:val="both"/>
        <w:rPr>
          <w:sz w:val="26"/>
          <w:szCs w:val="26"/>
        </w:rPr>
      </w:pPr>
      <w:r w:rsidRPr="00013842">
        <w:rPr>
          <w:b/>
          <w:sz w:val="26"/>
          <w:szCs w:val="26"/>
        </w:rPr>
        <w:t>2.</w:t>
      </w:r>
      <w:r w:rsidRPr="00013842">
        <w:rPr>
          <w:b/>
          <w:sz w:val="26"/>
          <w:szCs w:val="26"/>
        </w:rPr>
        <w:tab/>
        <w:t xml:space="preserve">Описание объекта закупки: </w:t>
      </w:r>
      <w:r w:rsidRPr="00013842">
        <w:rPr>
          <w:sz w:val="26"/>
          <w:szCs w:val="26"/>
        </w:rPr>
        <w:t>Поставка сервера в соответствии со Спецификацией документации запроса котировок в электронной форме.</w:t>
      </w:r>
    </w:p>
    <w:p w:rsidR="00436CD5" w:rsidRDefault="00436CD5" w:rsidP="00436CD5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013842">
        <w:rPr>
          <w:b/>
          <w:sz w:val="26"/>
          <w:szCs w:val="26"/>
        </w:rPr>
        <w:t xml:space="preserve">2.1.  Количество, функциональные, технические и качественные характеристики </w:t>
      </w:r>
      <w:r>
        <w:rPr>
          <w:b/>
          <w:sz w:val="26"/>
          <w:szCs w:val="26"/>
        </w:rPr>
        <w:t>сервера</w:t>
      </w:r>
      <w:r w:rsidRPr="00013842">
        <w:rPr>
          <w:b/>
          <w:sz w:val="26"/>
          <w:szCs w:val="26"/>
        </w:rPr>
        <w:t xml:space="preserve"> (товара):</w:t>
      </w:r>
    </w:p>
    <w:p w:rsidR="00436CD5" w:rsidRDefault="00436CD5" w:rsidP="00436CD5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tbl>
      <w:tblPr>
        <w:tblW w:w="15415" w:type="dxa"/>
        <w:tblInd w:w="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52"/>
        <w:gridCol w:w="567"/>
        <w:gridCol w:w="567"/>
        <w:gridCol w:w="3127"/>
        <w:gridCol w:w="2127"/>
        <w:gridCol w:w="1842"/>
        <w:gridCol w:w="5492"/>
      </w:tblGrid>
      <w:tr w:rsidR="00436CD5" w:rsidRPr="00436CD5" w:rsidTr="00744861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CD5" w:rsidRPr="00436CD5" w:rsidRDefault="00436CD5" w:rsidP="00436C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6CD5">
              <w:rPr>
                <w:b/>
                <w:bCs/>
                <w:color w:val="000000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CD5" w:rsidRPr="00436CD5" w:rsidRDefault="00436CD5" w:rsidP="00436C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6CD5">
              <w:rPr>
                <w:b/>
                <w:bCs/>
                <w:color w:val="000000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CD5" w:rsidRPr="00436CD5" w:rsidRDefault="00436CD5" w:rsidP="00436C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36CD5" w:rsidRPr="00436CD5" w:rsidRDefault="00436CD5" w:rsidP="00436C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6CD5">
              <w:rPr>
                <w:b/>
                <w:bCs/>
                <w:sz w:val="16"/>
                <w:szCs w:val="16"/>
              </w:rPr>
              <w:t>Ед. изм.</w:t>
            </w:r>
          </w:p>
          <w:p w:rsidR="00436CD5" w:rsidRPr="00436CD5" w:rsidRDefault="00436CD5" w:rsidP="00436C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CD5" w:rsidRPr="00436CD5" w:rsidRDefault="00436CD5" w:rsidP="00436C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36CD5" w:rsidRPr="00436CD5" w:rsidRDefault="00436CD5" w:rsidP="00436C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6CD5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6CD5" w:rsidRPr="00436CD5" w:rsidRDefault="00436CD5" w:rsidP="00436C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 характеристики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6CD5" w:rsidRPr="00436CD5" w:rsidRDefault="00436CD5" w:rsidP="00436C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Значение характеристики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6CD5" w:rsidRPr="00436CD5" w:rsidRDefault="00436CD5" w:rsidP="00436C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Единица измерения характеристики</w:t>
            </w:r>
          </w:p>
        </w:tc>
        <w:tc>
          <w:tcPr>
            <w:tcW w:w="5492" w:type="dxa"/>
            <w:vAlign w:val="center"/>
            <w:hideMark/>
          </w:tcPr>
          <w:p w:rsidR="00436CD5" w:rsidRPr="00436CD5" w:rsidRDefault="00436CD5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rPr>
          <w:gridAfter w:val="1"/>
          <w:wAfter w:w="5492" w:type="dxa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Сервер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744861" w:rsidRPr="00436CD5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44861">
              <w:rPr>
                <w:b/>
                <w:i/>
                <w:sz w:val="16"/>
                <w:szCs w:val="16"/>
              </w:rPr>
              <w:t xml:space="preserve">Код </w:t>
            </w:r>
            <w:r w:rsidRPr="00744861">
              <w:rPr>
                <w:b/>
                <w:bCs/>
                <w:i/>
                <w:sz w:val="16"/>
                <w:szCs w:val="16"/>
              </w:rPr>
              <w:t>КТРУ 26.20.14.000-00000189</w:t>
            </w: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744861" w:rsidRPr="00436CD5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сетевых портов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Скорость сетевого порта Ethernet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Гигабит в секунду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Тип среды передачи для сетевого порта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Волоконно-оптический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Поддерживаемые протоколы сетевого порта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Ethernet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Сервисные или вспомогательные разъемы подключения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Последовательный порт (COM), сигнально совместимый с RS-232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VGA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Скорость передачи данных каждого установленного модуля оперативной памяти, МТ/с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2933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Объем кэш памяти третьего уровня (L3) каждого установленного процессора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35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Мегабайт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Возможность установки плат стандарта PCIe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Базовая частота каждого установленного процессора (без учета технологии динамического изменения частоты)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2.2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Гигагерц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44861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потоков каждого установленного процессора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48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Тип среды передачи для сетевого порта (тип 1)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Медь-витая пара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74486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Скорость сетевого порта Ethernet (тип 1)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Гигабит в секунду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сетевых портов (тип 1)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4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Поддерживаемые протоколы сетевого порта (тип 1)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Ethernet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Номинальная мощность одного блока питания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1200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Ватт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Уровень резервирования установленных блоков питания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N+1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установленных блоков питания с поддержкой горячей замены, шт.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слотов для установки плат расширения PCIe x8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слотов для установки плат расширения PCIe x16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USB 3.x портов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6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Тип размещения USB портов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Внутренний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На передней панели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На задней панели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776FAC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USB 2.0 портов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Интерфейс подключения накопителей информации к дисковому контроллеру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SAS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SATA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Наличие защиты кэш-памяти дискового контроллера при потере питания сервером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Объем кэш-памяти установленного дискового контроллера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Поддерживаемые дисковым контроллером типы RAID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Наличие установленного аппаратного дискового контроллера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Объем каждого установленного накопителя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2400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Скорость вращения дисков в накопителе HDD или SSHD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10000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Оборот в минуту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Тип установленных накопителей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HDD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Интерфейс установленных накопителей (тип 2)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SAS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установленных накопителей (тип 2) с поддержкой горячей замены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Объем каждого установленного накопителя (тип 1)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960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Ресурс на запись дисков SSD (тип 1) - количество перезаписей всего объема накопителя в день (DWPD)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Тип установленных накопителей (тип 1)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SSD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Интерфейс установленных накопителей (тип 1)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SAS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установленных накопителей (тип 1) с поддержкой горячей замены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4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Интерфейс поддерживаемых накопителей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SATA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SAS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NVMe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PCIe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M.2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MicroSD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USB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занимаемых юнитов в стойке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≤ 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Наличие интегрированного видеоадаптера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Cистема</w:t>
            </w:r>
            <w:proofErr w:type="spellEnd"/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удаленного управления сервером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Выделенный порт удалённого управления сервером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Тип корпуса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Rack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Наличие направляющих для установки в шкаф телекоммуникационный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Функциональность контроллера дистанционного мониторинга и управления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Доступ к основным характеристикам, состоянию сервера и установленных устройств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перенаправления графической консоли по сети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897CD8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Поддержка веб-интерфейса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Подключение виртуальных медиа-устройств через консоль удаленного управления, в том числе образов дисков (файлов ISO)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SFF (2,5) слотов для накопителей на задней панели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4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LFF (3,5) слотов для накопителей на лицевой панели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Максимальное количество накопителей в корпусе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28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Уровень резервирования установленных блоков охлаждения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N+1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Поддержка функции обнаружения и коррекции ошибок в оперативной памяти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Суммарный объем установленной оперативной памяти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512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Объем каждого установленного модуля оперативной памяти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64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слотов для модулей оперативной памяти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16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Аппаратная поддержка виртуализации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ядер каждого установленного процессора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28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Поддерживаемая архитектура набора команд процессора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х86-64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Количество установленных процессоров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Тип сервера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Стоечный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Максимальное количество процессоров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BF5B0F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≥ 2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  <w:tr w:rsidR="00744861" w:rsidRPr="00436CD5" w:rsidTr="004C3DD1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Максимальный общий поддерживаемый объем оперативной памяти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≥ 4096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861" w:rsidRPr="00436CD5" w:rsidRDefault="00744861" w:rsidP="00436C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36CD5">
              <w:rPr>
                <w:rFonts w:ascii="Tahoma" w:hAnsi="Tahoma" w:cs="Tahoma"/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5492" w:type="dxa"/>
            <w:vAlign w:val="center"/>
            <w:hideMark/>
          </w:tcPr>
          <w:p w:rsidR="00744861" w:rsidRPr="00436CD5" w:rsidRDefault="00744861" w:rsidP="00436CD5">
            <w:pPr>
              <w:rPr>
                <w:sz w:val="20"/>
                <w:szCs w:val="20"/>
              </w:rPr>
            </w:pPr>
          </w:p>
        </w:tc>
      </w:tr>
    </w:tbl>
    <w:p w:rsidR="00436CD5" w:rsidRPr="000E376E" w:rsidRDefault="00436CD5" w:rsidP="00436CD5">
      <w:pPr>
        <w:shd w:val="clear" w:color="auto" w:fill="FFFFFF"/>
        <w:ind w:firstLine="708"/>
        <w:jc w:val="both"/>
      </w:pPr>
    </w:p>
    <w:p w:rsidR="00A61632" w:rsidRPr="00D26C5E" w:rsidRDefault="00A61632" w:rsidP="00A61632">
      <w:r w:rsidRPr="00D26C5E">
        <w:t>Качество поставляемого оборудования должно соответствовать следующим требованиям:</w:t>
      </w:r>
    </w:p>
    <w:p w:rsidR="00A61632" w:rsidRPr="00D26C5E" w:rsidRDefault="00A61632" w:rsidP="00A61632">
      <w:r w:rsidRPr="00D26C5E">
        <w:t>- сервер должен быть новым, не бывшим в эксплуатации, не переделанным, не восстановленным;</w:t>
      </w:r>
    </w:p>
    <w:p w:rsidR="00A61632" w:rsidRPr="00D26C5E" w:rsidRDefault="00A61632" w:rsidP="00A61632">
      <w:r w:rsidRPr="00D26C5E">
        <w:t>- сервер должен поставляться в полностью укомплектованном, собранном, готовом к эксплуатации виде. Сервер должен быть готов к эксплуатации без закупки каких-либо дополнительных запасных частей, комплектующих;</w:t>
      </w:r>
    </w:p>
    <w:p w:rsidR="00A61632" w:rsidRPr="00D26C5E" w:rsidRDefault="00A61632" w:rsidP="00A61632">
      <w:r w:rsidRPr="00D26C5E">
        <w:t>- сервер не должен требовать каких-либо дополнительных финансовых или материальных расходов в течение предполагаемого срока гарантийного обслуживания.</w:t>
      </w:r>
    </w:p>
    <w:p w:rsidR="00767E08" w:rsidRPr="00D26C5E" w:rsidRDefault="00767E08" w:rsidP="00767E08">
      <w:r w:rsidRPr="00D26C5E">
        <w:t>Сервер должен быть маркирован единым знаком обращения продукции на рынке государств – членов Таможенного союза.</w:t>
      </w:r>
    </w:p>
    <w:p w:rsidR="00767E08" w:rsidRPr="00D26C5E" w:rsidRDefault="00767E08" w:rsidP="00767E08">
      <w:r w:rsidRPr="00D26C5E">
        <w:t>Сервер должны поставляться в упаковке однократного использования, не подлежащей возврату. Упаковка сервера должна обеспечивать их полную сохранность и качество при погрузочно-разгрузочных работах, транспортировке и хранении.</w:t>
      </w:r>
    </w:p>
    <w:p w:rsidR="00767E08" w:rsidRDefault="00767E08" w:rsidP="00767E08">
      <w:r w:rsidRPr="00D26C5E">
        <w:t>Сервер должен обладать характеристиками, указанными в таблице.</w:t>
      </w:r>
    </w:p>
    <w:p w:rsidR="00767E08" w:rsidRDefault="00767E08" w:rsidP="00767E08"/>
    <w:p w:rsidR="00767E08" w:rsidRDefault="00767E08" w:rsidP="00767E08">
      <w:r>
        <w:t>Гарантия должна быть не менее 36 месяцев.</w:t>
      </w:r>
    </w:p>
    <w:p w:rsidR="00767E08" w:rsidRPr="00D26C5E" w:rsidRDefault="00767E08" w:rsidP="00767E08"/>
    <w:p w:rsidR="00767E08" w:rsidRPr="0032581A" w:rsidRDefault="00767E08" w:rsidP="00767E08">
      <w:pPr>
        <w:widowControl w:val="0"/>
        <w:shd w:val="clear" w:color="auto" w:fill="FFFFFF"/>
        <w:tabs>
          <w:tab w:val="left" w:pos="720"/>
        </w:tabs>
        <w:spacing w:line="360" w:lineRule="auto"/>
        <w:ind w:hanging="28"/>
        <w:jc w:val="both"/>
      </w:pPr>
      <w:r w:rsidRPr="0032581A">
        <w:rPr>
          <w:b/>
        </w:rPr>
        <w:t xml:space="preserve"> Место поставки товаров: </w:t>
      </w:r>
      <w:r w:rsidRPr="0032581A">
        <w:t>Ивановская область, г. Иваново, ул. Красной Армии, д.11</w:t>
      </w:r>
    </w:p>
    <w:p w:rsidR="00767E08" w:rsidRPr="0032581A" w:rsidRDefault="00767E08" w:rsidP="00767E08">
      <w:pPr>
        <w:widowControl w:val="0"/>
        <w:shd w:val="clear" w:color="auto" w:fill="FFFFFF"/>
        <w:tabs>
          <w:tab w:val="left" w:pos="720"/>
        </w:tabs>
        <w:spacing w:line="360" w:lineRule="auto"/>
        <w:contextualSpacing/>
        <w:jc w:val="both"/>
      </w:pPr>
      <w:r w:rsidRPr="0032581A">
        <w:rPr>
          <w:b/>
        </w:rPr>
        <w:t xml:space="preserve">Срок поставки товаров: </w:t>
      </w:r>
      <w:r w:rsidRPr="0032581A">
        <w:t xml:space="preserve">в течение </w:t>
      </w:r>
      <w:r>
        <w:t>40</w:t>
      </w:r>
      <w:r w:rsidRPr="0032581A">
        <w:t xml:space="preserve"> (</w:t>
      </w:r>
      <w:r>
        <w:t>сорока</w:t>
      </w:r>
      <w:r w:rsidRPr="0032581A">
        <w:t>) рабочих дней с даты</w:t>
      </w:r>
      <w:r>
        <w:t xml:space="preserve"> подписания Контракта.</w:t>
      </w:r>
    </w:p>
    <w:p w:rsidR="00954EE0" w:rsidRDefault="00954EE0" w:rsidP="00A61632"/>
    <w:sectPr w:rsidR="00954EE0" w:rsidSect="00A61632">
      <w:pgSz w:w="11906" w:h="16838"/>
      <w:pgMar w:top="510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5"/>
    <w:rsid w:val="0025470F"/>
    <w:rsid w:val="00436CD5"/>
    <w:rsid w:val="004A5628"/>
    <w:rsid w:val="00744861"/>
    <w:rsid w:val="00767E08"/>
    <w:rsid w:val="00954EE0"/>
    <w:rsid w:val="009C6BD6"/>
    <w:rsid w:val="00A61632"/>
    <w:rsid w:val="00B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F1A2D-3160-4DBB-B9C3-DB2E6B7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6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Рекин Олег Геннадьевич</dc:creator>
  <cp:keywords/>
  <dc:description/>
  <cp:lastModifiedBy>Рекин Олег Геннадьевич</cp:lastModifiedBy>
  <cp:revision>3</cp:revision>
  <cp:lastPrinted>2023-08-24T12:29:00Z</cp:lastPrinted>
  <dcterms:created xsi:type="dcterms:W3CDTF">2023-07-27T14:13:00Z</dcterms:created>
  <dcterms:modified xsi:type="dcterms:W3CDTF">2023-08-24T12:30:00Z</dcterms:modified>
</cp:coreProperties>
</file>