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993"/>
        <w:jc w:val="center"/>
        <w:rPr>
          <w:b/>
        </w:rPr>
      </w:pPr>
      <w:r>
        <w:rPr>
          <w:b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Извещение о проведении электронного аукциона </w:t>
      </w:r>
      <w:r>
        <w:rPr>
          <w:b/>
          <w:bCs/>
          <w:sz w:val="24"/>
          <w:szCs w:val="24"/>
        </w:rPr>
        <w:t xml:space="preserve">о продаже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муниципального</w:t>
      </w:r>
      <w:r>
        <w:rPr>
          <w:b/>
          <w:bCs/>
          <w:sz w:val="24"/>
          <w:szCs w:val="24"/>
        </w:rPr>
        <w:t xml:space="preserve"> имущества</w:t>
      </w:r>
      <w:r>
        <w:rPr>
          <w:rFonts w:eastAsia="Arial" w:cs="Times New Roman"/>
          <w:b/>
          <w:bCs/>
          <w:color w:val="000000"/>
          <w:sz w:val="24"/>
          <w:szCs w:val="24"/>
          <w:lang w:val="ru-RU"/>
        </w:rPr>
        <w:t xml:space="preserve"> —  </w:t>
      </w:r>
      <w:r>
        <w:rPr>
          <w:rFonts w:eastAsia="Arial" w:cs="Times New Roman"/>
          <w:b/>
          <w:bCs/>
          <w:color w:val="000000"/>
          <w:sz w:val="24"/>
          <w:szCs w:val="24"/>
          <w:shd w:fill="auto" w:val="clear"/>
          <w:lang w:val="ru-RU"/>
        </w:rPr>
        <w:t>нежилого здания «Дом оператора», расположенного по адресу: Ивановская область, Ивановский район, Балахонковское сельское поселение, с. Буньково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>Отдел по управлению муниципальным имуществом Администрация Ивановского муниципального района (далее – «Продавец», «Организатор торгов»)</w:t>
      </w:r>
      <w:r>
        <w:rPr>
          <w:iCs/>
          <w:sz w:val="26"/>
          <w:szCs w:val="26"/>
        </w:rPr>
        <w:t xml:space="preserve"> объявляет о</w:t>
      </w:r>
      <w:r>
        <w:rPr>
          <w:sz w:val="26"/>
          <w:szCs w:val="26"/>
        </w:rPr>
        <w:t xml:space="preserve"> продаже недвижимого имущества посредством </w:t>
      </w:r>
      <w:r>
        <w:rPr>
          <w:bCs/>
          <w:color w:val="000000"/>
          <w:sz w:val="26"/>
          <w:szCs w:val="26"/>
        </w:rPr>
        <w:t>электронного аукциона:</w:t>
      </w:r>
    </w:p>
    <w:p>
      <w:pPr>
        <w:pStyle w:val="Normal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Лот № 1 - 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</w:rPr>
        <w:t xml:space="preserve">нежилое здание «Дом оператора», расположенное по адресу: Ивановская область, Ивановский район, Балахонковское сельское поселение, с. Буньково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ab/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color w:val="000000"/>
          <w:sz w:val="26"/>
          <w:szCs w:val="26"/>
        </w:rPr>
        <w:t>Способ приватизации имущества,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форма подачи предложений о цене имущества</w:t>
      </w:r>
      <w:r>
        <w:rPr>
          <w:color w:val="000000"/>
          <w:sz w:val="26"/>
          <w:szCs w:val="26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Продажа не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движимого</w:t>
      </w:r>
      <w:r>
        <w:rPr>
          <w:color w:val="000000"/>
          <w:sz w:val="26"/>
          <w:szCs w:val="26"/>
        </w:rPr>
        <w:t xml:space="preserve"> имущества на аукционе (в электронной форме). Аукцион является открытым по составу участников.</w:t>
      </w:r>
    </w:p>
    <w:p>
      <w:pPr>
        <w:pStyle w:val="BodyText"/>
        <w:spacing w:before="0" w:after="0"/>
        <w:ind w:firstLine="283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 xml:space="preserve">  Оператор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электронной площадки: </w:t>
      </w:r>
      <w:r>
        <w:rPr>
          <w:bCs/>
          <w:sz w:val="26"/>
          <w:szCs w:val="26"/>
        </w:rPr>
        <w:t>АО «ЕЭТП» Место нахождения: 115114, Москва, ул. Кожевническая, д. 14, стр. 5.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>Сайт: https://www.roseltorg.ru/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>Тел.: +7 495 276-16-26; +7 495 730-59-07.</w:t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Извещение о проведении торгов в электронной форме размещается на </w:t>
      </w:r>
      <w:r>
        <w:rPr>
          <w:sz w:val="26"/>
          <w:szCs w:val="26"/>
        </w:rPr>
        <w:t xml:space="preserve">официальном сайте Российской Федерации </w:t>
      </w:r>
      <w:hyperlink r:id="rId2">
        <w:r>
          <w:rPr>
            <w:sz w:val="26"/>
            <w:szCs w:val="26"/>
          </w:rPr>
          <w:t>https://torgi.gov.ru/new/</w:t>
        </w:r>
      </w:hyperlink>
      <w:r>
        <w:rPr>
          <w:sz w:val="26"/>
          <w:szCs w:val="26"/>
        </w:rPr>
        <w:t xml:space="preserve"> и на электронной площадке </w:t>
      </w:r>
      <w:r>
        <w:rPr>
          <w:bCs/>
          <w:color w:val="0070C0"/>
          <w:sz w:val="26"/>
          <w:szCs w:val="26"/>
          <w:u w:val="single"/>
        </w:rPr>
        <w:t>https://www.roseltorg.ru/</w:t>
      </w:r>
      <w:r>
        <w:rPr>
          <w:rStyle w:val="Strong"/>
          <w:sz w:val="26"/>
          <w:szCs w:val="26"/>
        </w:rPr>
        <w:t>.</w:t>
      </w:r>
    </w:p>
    <w:p>
      <w:pPr>
        <w:pStyle w:val="Normal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BodyText"/>
        <w:numPr>
          <w:ilvl w:val="0"/>
          <w:numId w:val="1"/>
        </w:numPr>
        <w:spacing w:before="0" w:after="0"/>
        <w:ind w:firstLine="709" w:left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Наименование органа местного самоуправления, принявшего решение об условиях приватизации такого имущества, реквизиты указанного решения.</w:t>
      </w:r>
      <w:r>
        <w:rPr>
          <w:b/>
          <w:sz w:val="24"/>
          <w:szCs w:val="24"/>
        </w:rPr>
        <w:t xml:space="preserve"> </w:t>
      </w:r>
    </w:p>
    <w:p>
      <w:pPr>
        <w:pStyle w:val="BodyText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муниципального</w:t>
      </w:r>
      <w:r>
        <w:rPr>
          <w:sz w:val="24"/>
          <w:szCs w:val="24"/>
        </w:rPr>
        <w:t xml:space="preserve"> имущества посредством электронного аукциона осуществляется в соответствии </w:t>
      </w:r>
      <w:r>
        <w:rPr>
          <w:sz w:val="24"/>
          <w:szCs w:val="24"/>
          <w:shd w:fill="FFFFFF" w:val="clear"/>
        </w:rPr>
        <w:t xml:space="preserve">решением </w:t>
      </w:r>
      <w:r>
        <w:rPr>
          <w:color w:val="000000"/>
          <w:sz w:val="24"/>
          <w:szCs w:val="24"/>
        </w:rPr>
        <w:t xml:space="preserve">Совета </w:t>
      </w:r>
      <w:r>
        <w:rPr>
          <w:b w:val="false"/>
          <w:color w:val="000000"/>
          <w:sz w:val="24"/>
          <w:szCs w:val="24"/>
        </w:rPr>
        <w:t>Ивановского муниципального района от 26.09.2024 № 619 «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</w:rPr>
        <w:t>О приватизации</w:t>
      </w:r>
      <w:r>
        <w:rPr>
          <w:b w:val="false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</w:rPr>
        <w:t>нежилого здания «Дом оператора», расположенного по адресу: Ивановская область, Ивановский район, Балахонковское сельское поселение, с. Буньково»</w:t>
      </w:r>
    </w:p>
    <w:p>
      <w:pPr>
        <w:pStyle w:val="BodyText"/>
        <w:numPr>
          <w:ilvl w:val="0"/>
          <w:numId w:val="1"/>
        </w:numPr>
        <w:spacing w:before="0" w:after="0"/>
        <w:ind w:firstLine="709" w:left="0"/>
        <w:rPr>
          <w:sz w:val="24"/>
          <w:szCs w:val="24"/>
        </w:rPr>
      </w:pPr>
      <w:r>
        <w:rPr>
          <w:b/>
          <w:bCs/>
          <w:sz w:val="24"/>
          <w:szCs w:val="24"/>
        </w:rPr>
        <w:t>Предмет торгов: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ab/>
        <w:t xml:space="preserve">  Лот № 1: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ab/>
        <w:t xml:space="preserve"> - </w:t>
      </w:r>
      <w:r>
        <w:rPr>
          <w:rFonts w:eastAsia="Arial" w:cs="Times New Roman"/>
          <w:b w:val="false"/>
          <w:bCs w:val="false"/>
          <w:color w:val="000000"/>
          <w:sz w:val="24"/>
          <w:szCs w:val="24"/>
          <w:shd w:fill="auto" w:val="clear"/>
        </w:rPr>
        <w:t>нежилое здание «Дом оператора», кадастровый номер 37:05:010715:1006, количество этажей -1, назначение: нежилое, площадь 196,9 кв.м.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Arial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     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</w:t>
      </w:r>
      <w:r>
        <w:rPr>
          <w:b/>
          <w:sz w:val="24"/>
          <w:szCs w:val="24"/>
        </w:rPr>
        <w:t>3. Форма торгов (способ приватизации)</w:t>
      </w:r>
      <w:r>
        <w:rPr>
          <w:sz w:val="24"/>
          <w:szCs w:val="24"/>
        </w:rPr>
        <w:t>: Продажа муниципального имущества посредством электронного аукциона  в соответствии с требованиями 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года № 860 «Об организации и проведении продажи государственного или муниципального имущества в электронной форме». Заявки подаются в открытой форме.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4. Начальная цена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продажи Имущества на аукционе в электронной форме, величина повышения начальной цены ("шаг аукциона") при подаче предложений о цене имущества в открытой форме, информация о задатке для участия в продаже посредством электронного аукциона: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ab/>
        <w:t>Лот № 1:</w:t>
      </w:r>
    </w:p>
    <w:p>
      <w:pPr>
        <w:pStyle w:val="BodyText"/>
        <w:spacing w:before="0" w:after="0"/>
        <w:rPr/>
      </w:pPr>
      <w:r>
        <w:rPr>
          <w:rStyle w:val="FontStyle21"/>
          <w:rFonts w:eastAsia="Arial"/>
          <w:b/>
          <w:bCs/>
          <w:color w:val="000000"/>
          <w:sz w:val="24"/>
          <w:szCs w:val="24"/>
          <w:lang w:eastAsia="zh-CN"/>
        </w:rPr>
        <w:tab/>
        <w:t xml:space="preserve">Начальная цена продажи имущества </w:t>
      </w:r>
      <w:r>
        <w:rPr>
          <w:rStyle w:val="FontStyle21"/>
          <w:rFonts w:eastAsia="Arial"/>
          <w:b w:val="false"/>
          <w:color w:val="000000"/>
          <w:sz w:val="24"/>
          <w:szCs w:val="24"/>
          <w:lang w:eastAsia="zh-CN"/>
        </w:rPr>
        <w:t xml:space="preserve">— </w:t>
      </w:r>
      <w:r>
        <w:rPr>
          <w:rStyle w:val="FontStyle21"/>
          <w:rFonts w:eastAsia="Arial" w:cs="Times New Roman"/>
          <w:b w:val="false"/>
          <w:color w:val="000000"/>
          <w:sz w:val="24"/>
          <w:szCs w:val="24"/>
          <w:shd w:fill="auto" w:val="clear"/>
          <w:lang w:eastAsia="zh-CN"/>
        </w:rPr>
        <w:t>2 126 520,00 (Два миллиона сто двадцать шесть тысяч пятьсот двадцать) рублей 00 копеек, в том числе налог на добавленную стоимость в размере 20%.</w:t>
      </w:r>
    </w:p>
    <w:p>
      <w:pPr>
        <w:pStyle w:val="BodyText"/>
        <w:spacing w:before="0" w:after="0"/>
        <w:rPr/>
      </w:pPr>
      <w:r>
        <w:rPr>
          <w:rStyle w:val="FontStyle21"/>
          <w:rFonts w:eastAsia="Arial"/>
          <w:b/>
          <w:bCs/>
          <w:color w:val="000000"/>
          <w:sz w:val="24"/>
          <w:szCs w:val="24"/>
          <w:highlight w:val="white"/>
          <w:lang w:eastAsia="zh-CN"/>
        </w:rPr>
        <w:tab/>
        <w:t>Шаг аукциона</w:t>
      </w:r>
      <w:r>
        <w:rPr>
          <w:rStyle w:val="FontStyle21"/>
          <w:rFonts w:eastAsia="Arial"/>
          <w:b w:val="false"/>
          <w:bCs w:val="false"/>
          <w:color w:val="000000"/>
          <w:sz w:val="24"/>
          <w:szCs w:val="24"/>
          <w:highlight w:val="white"/>
          <w:lang w:eastAsia="zh-CN"/>
        </w:rPr>
        <w:t xml:space="preserve"> составляет 5</w:t>
      </w:r>
      <w:r>
        <w:rPr>
          <w:rStyle w:val="FontStyle21"/>
          <w:rFonts w:eastAsia="Arial"/>
          <w:b w:val="false"/>
          <w:color w:val="000000"/>
          <w:sz w:val="24"/>
          <w:szCs w:val="24"/>
          <w:highlight w:val="white"/>
          <w:lang w:eastAsia="zh-CN"/>
        </w:rPr>
        <w:t>% начальной цены продажи имущества</w:t>
      </w:r>
      <w:r>
        <w:rPr>
          <w:rStyle w:val="FontStyle21"/>
          <w:rFonts w:eastAsia="Arial"/>
          <w:b w:val="false"/>
          <w:bCs w:val="false"/>
          <w:color w:val="000000"/>
          <w:sz w:val="24"/>
          <w:szCs w:val="24"/>
          <w:highlight w:val="white"/>
          <w:lang w:eastAsia="zh-CN"/>
        </w:rPr>
        <w:t xml:space="preserve"> — </w:t>
      </w:r>
      <w:r>
        <w:rPr>
          <w:rStyle w:val="FontStyle21"/>
          <w:rFonts w:eastAsia="Arial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shd w:fill="auto" w:val="clear"/>
          <w:lang w:eastAsia="zh-CN"/>
        </w:rPr>
        <w:t xml:space="preserve"> </w:t>
      </w:r>
      <w:r>
        <w:rPr>
          <w:rStyle w:val="FontStyle21"/>
          <w:rFonts w:eastAsia="Arial" w:cs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shd w:fill="auto" w:val="clear"/>
          <w:lang w:eastAsia="zh-CN"/>
        </w:rPr>
        <w:t>106 326 (Сто шесть тысяч триста двадцать шесть) рублей 00 копеек.</w:t>
      </w:r>
    </w:p>
    <w:p>
      <w:pPr>
        <w:pStyle w:val="BodyText"/>
        <w:spacing w:before="0" w:after="0"/>
        <w:rPr/>
      </w:pPr>
      <w:r>
        <w:rPr>
          <w:rStyle w:val="FontStyle21"/>
          <w:rFonts w:eastAsia="Arial"/>
          <w:b/>
          <w:bCs/>
          <w:color w:val="000000"/>
          <w:sz w:val="24"/>
          <w:szCs w:val="24"/>
          <w:highlight w:val="white"/>
          <w:lang w:eastAsia="zh-CN"/>
        </w:rPr>
        <w:tab/>
        <w:t>Задаток</w:t>
      </w:r>
      <w:r>
        <w:rPr>
          <w:rStyle w:val="FontStyle21"/>
          <w:rFonts w:eastAsia="Arial"/>
          <w:b w:val="false"/>
          <w:color w:val="000000"/>
          <w:sz w:val="24"/>
          <w:szCs w:val="24"/>
          <w:highlight w:val="white"/>
          <w:lang w:eastAsia="zh-CN"/>
        </w:rPr>
        <w:t xml:space="preserve"> 10% начальной цены продажи имущества —  </w:t>
      </w:r>
      <w:r>
        <w:rPr>
          <w:rStyle w:val="FontStyle21"/>
          <w:rFonts w:eastAsia="Arial" w:cs="Times New Roman"/>
          <w:b w:val="false"/>
          <w:color w:val="000000"/>
          <w:sz w:val="24"/>
          <w:szCs w:val="24"/>
          <w:highlight w:val="white"/>
          <w:shd w:fill="auto" w:val="clear"/>
          <w:lang w:eastAsia="zh-CN"/>
        </w:rPr>
        <w:t>212 652 (Двести двенадцать тысяч шестьсот пятьдесят два) рубля 00 копеек.</w:t>
      </w:r>
      <w:r>
        <w:rPr>
          <w:rStyle w:val="FontStyle21"/>
          <w:rFonts w:eastAsia="Arial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shd w:fill="auto" w:val="clear"/>
          <w:lang w:eastAsia="zh-CN"/>
        </w:rPr>
        <w:t xml:space="preserve"> </w:t>
      </w:r>
    </w:p>
    <w:p>
      <w:pPr>
        <w:pStyle w:val="Normal"/>
        <w:spacing w:lineRule="auto" w:line="240" w:before="57" w:after="5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стоимость </w:t>
      </w:r>
      <w:r>
        <w:rPr>
          <w:b w:val="false"/>
          <w:bCs w:val="false"/>
          <w:color w:val="000000"/>
          <w:sz w:val="24"/>
          <w:szCs w:val="24"/>
        </w:rPr>
        <w:t>(цена Лота №1)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определена на основании </w:t>
      </w:r>
      <w:r>
        <w:rPr>
          <w:rFonts w:cs="Times New Roman"/>
          <w:color w:val="000000"/>
          <w:sz w:val="24"/>
          <w:szCs w:val="24"/>
          <w:shd w:fill="auto" w:val="clear"/>
        </w:rPr>
        <w:t>отчета об определении рыночной стоимости ООО «ПРАЙМ КОНСАЛТИНГ» от 16 сентября 2024  №  3035/02.</w:t>
      </w:r>
      <w:r>
        <w:rPr>
          <w:color w:val="000000"/>
          <w:sz w:val="24"/>
          <w:szCs w:val="24"/>
        </w:rPr>
        <w:t xml:space="preserve"> 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5. </w:t>
      </w:r>
      <w:r>
        <w:rPr>
          <w:sz w:val="24"/>
          <w:szCs w:val="24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BodyText"/>
        <w:spacing w:before="0" w:after="0"/>
        <w:rPr>
          <w:sz w:val="24"/>
          <w:szCs w:val="24"/>
        </w:rPr>
      </w:pPr>
      <w:bookmarkStart w:id="0" w:name="ext-gen4791"/>
      <w:bookmarkEnd w:id="0"/>
      <w:r>
        <w:rPr>
          <w:sz w:val="24"/>
          <w:szCs w:val="24"/>
        </w:rPr>
        <w:tab/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>
      <w:pPr>
        <w:pStyle w:val="BodyText"/>
        <w:spacing w:before="0" w:after="0"/>
        <w:rPr/>
      </w:pPr>
      <w:r>
        <w:rPr>
          <w:sz w:val="24"/>
          <w:szCs w:val="24"/>
        </w:rPr>
        <w:tab/>
        <w:t xml:space="preserve">Для участия в продаже Претенденты перечисляют задаток в размере 10 % (процентов) начальной цены продажи имущества, указанной в информационном сообщении в счет обеспечения оплаты приобретаемого имущества - </w:t>
      </w:r>
      <w:r>
        <w:rPr>
          <w:rStyle w:val="FontStyle21"/>
          <w:rFonts w:eastAsia="Arial" w:cs="Times New Roman"/>
          <w:b w:val="false"/>
          <w:color w:val="000000"/>
          <w:sz w:val="24"/>
          <w:szCs w:val="24"/>
          <w:highlight w:val="white"/>
          <w:shd w:fill="auto" w:val="clear"/>
          <w:lang w:eastAsia="zh-CN"/>
        </w:rPr>
        <w:t>212 652 (Двести двенадцать тысяч шестьсот пятьдесят два) рубля 00 копеек.</w:t>
      </w:r>
      <w:r>
        <w:rPr>
          <w:rStyle w:val="FontStyle21"/>
          <w:rFonts w:eastAsia="Arial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shd w:fill="auto" w:val="clear"/>
          <w:lang w:eastAsia="zh-CN"/>
        </w:rPr>
        <w:t xml:space="preserve">  </w:t>
      </w:r>
    </w:p>
    <w:p>
      <w:pPr>
        <w:pStyle w:val="BodyText"/>
        <w:spacing w:before="0" w:after="0"/>
        <w:rPr/>
      </w:pPr>
      <w:r>
        <w:rPr>
          <w:rStyle w:val="FontStyle21"/>
          <w:rFonts w:eastAsia="Arial"/>
          <w:b w:val="false"/>
          <w:bCs w:val="false"/>
          <w:color w:val="000000"/>
          <w:sz w:val="24"/>
          <w:szCs w:val="24"/>
          <w:highlight w:val="white"/>
          <w:lang w:eastAsia="zh-CN"/>
        </w:rPr>
        <w:tab/>
      </w:r>
      <w:r>
        <w:rPr>
          <w:sz w:val="24"/>
          <w:szCs w:val="24"/>
        </w:rPr>
        <w:t>Перечисление задатка для участия в продаже и возврат задатка осуществляются с учетом особенностей, установленных регламентом электронной площадки https://www.roseltorg.ru/.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Задаток перечисляется на реквизиты Оператора электронной площадки.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Назначение платежа – Перечисление денежных средств в качестве задатка (ИНН плательщика, номер лота), НДС не облагается. 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При уклонении или отказе победителя </w:t>
      </w:r>
      <w:r>
        <w:rPr>
          <w:sz w:val="24"/>
          <w:szCs w:val="24"/>
        </w:rPr>
        <w:t>продажи</w:t>
      </w:r>
      <w:r>
        <w:rPr>
          <w:rFonts w:eastAsia="Calibri"/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6. Порядок регистрации на электронной площадке.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b/>
          <w:sz w:val="24"/>
          <w:szCs w:val="24"/>
        </w:rPr>
        <w:tab/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сроки, время подачи заявок и проведения продажи посредством электронного аукциона: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При приеме заявок от претендентов Оператор электронной площадки обеспечивает          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Указанное в настоящем информационном сообщении время – московское.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Место подачи (приема) заявок: электронная площадка https://www.roseltorg.ru/</w:t>
      </w:r>
    </w:p>
    <w:p>
      <w:pPr>
        <w:pStyle w:val="BodyText"/>
        <w:spacing w:before="0" w:after="0"/>
        <w:ind w:firstLine="283"/>
        <w:rPr/>
      </w:pPr>
      <w:r>
        <w:rPr>
          <w:b/>
          <w:bCs/>
          <w:sz w:val="24"/>
          <w:szCs w:val="24"/>
        </w:rPr>
        <w:t xml:space="preserve">Дата и время начала приема заявок – </w:t>
      </w:r>
      <w:r>
        <w:rPr>
          <w:b/>
          <w:bCs/>
          <w:sz w:val="24"/>
          <w:szCs w:val="24"/>
        </w:rPr>
        <w:t>03.12.</w:t>
      </w:r>
      <w:r>
        <w:rPr>
          <w:rStyle w:val="Strong"/>
          <w:rFonts w:eastAsia="Times New Roman" w:cs="Times New Roman"/>
          <w:b/>
          <w:bCs/>
          <w:sz w:val="24"/>
          <w:szCs w:val="24"/>
          <w:lang w:eastAsia="ru-RU"/>
        </w:rPr>
        <w:t>2024</w:t>
      </w:r>
      <w:r>
        <w:rPr>
          <w:rStyle w:val="Strong"/>
          <w:b/>
          <w:bCs/>
          <w:sz w:val="24"/>
          <w:szCs w:val="24"/>
        </w:rPr>
        <w:t xml:space="preserve"> в 14-00</w:t>
      </w:r>
      <w:r>
        <w:rPr>
          <w:b/>
          <w:bCs/>
          <w:sz w:val="24"/>
          <w:szCs w:val="24"/>
        </w:rPr>
        <w:t>.</w:t>
      </w:r>
    </w:p>
    <w:p>
      <w:pPr>
        <w:pStyle w:val="Normal"/>
        <w:tabs>
          <w:tab w:val="clear" w:pos="408"/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/>
      </w:pPr>
      <w:r>
        <w:rPr>
          <w:b/>
          <w:bCs/>
          <w:sz w:val="24"/>
          <w:szCs w:val="24"/>
        </w:rPr>
        <w:tab/>
        <w:t>Дата и время окончания приема заявок –</w:t>
      </w:r>
      <w:r>
        <w:rPr>
          <w:b/>
          <w:bCs/>
          <w:sz w:val="24"/>
          <w:szCs w:val="24"/>
        </w:rPr>
        <w:t>13.01.2025</w:t>
      </w:r>
      <w:r>
        <w:rPr>
          <w:b/>
          <w:bCs/>
          <w:sz w:val="24"/>
          <w:szCs w:val="24"/>
        </w:rPr>
        <w:t xml:space="preserve"> </w:t>
      </w:r>
      <w:r>
        <w:rPr>
          <w:rStyle w:val="Strong"/>
          <w:b/>
          <w:bCs/>
          <w:sz w:val="24"/>
          <w:szCs w:val="24"/>
        </w:rPr>
        <w:t>в 08:00.</w:t>
      </w:r>
    </w:p>
    <w:p>
      <w:pPr>
        <w:pStyle w:val="Normal"/>
        <w:tabs>
          <w:tab w:val="clear" w:pos="408"/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Дата окончания срока рассмотрения заявок – </w:t>
      </w:r>
      <w:r>
        <w:rPr>
          <w:b/>
          <w:bCs/>
          <w:sz w:val="24"/>
          <w:szCs w:val="24"/>
        </w:rPr>
        <w:t>17.01.2025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Проведение продажи (дата и время начала приема предложений от участников торгов) </w:t>
      </w:r>
      <w:r>
        <w:rPr>
          <w:b/>
          <w:sz w:val="24"/>
          <w:szCs w:val="24"/>
        </w:rPr>
        <w:t>21.01.2025</w:t>
      </w:r>
      <w:r>
        <w:rPr>
          <w:b/>
          <w:sz w:val="24"/>
          <w:szCs w:val="24"/>
        </w:rPr>
        <w:t xml:space="preserve"> с 10:00.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Подведение итогов продажи: процедура продажи имущества посредством электронного аукциона считается завершенной со времени подписания продавцом протокола об итогах такой продажи.</w:t>
      </w:r>
    </w:p>
    <w:p>
      <w:pPr>
        <w:pStyle w:val="BodyText"/>
        <w:spacing w:before="0" w:after="0"/>
        <w:ind w:hanging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8. Исчерпывающий перечень,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b/>
          <w:bCs/>
          <w:sz w:val="24"/>
          <w:szCs w:val="24"/>
          <w:u w:val="none"/>
        </w:rPr>
        <w:t>Заявка на участие в торгах по форме приложение № 1 к информационному сообщению,</w:t>
      </w:r>
      <w:r>
        <w:rPr>
          <w:sz w:val="24"/>
          <w:szCs w:val="24"/>
          <w:u w:val="none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>
      <w:pPr>
        <w:pStyle w:val="Normal"/>
        <w:tabs>
          <w:tab w:val="clear" w:pos="408"/>
          <w:tab w:val="left" w:pos="426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b/>
          <w:sz w:val="24"/>
          <w:szCs w:val="24"/>
          <w:u w:val="none"/>
          <w:lang w:eastAsia="ru-RU"/>
        </w:rPr>
        <w:tab/>
        <w:t>Одновременно с заявкой</w:t>
      </w:r>
    </w:p>
    <w:p>
      <w:pPr>
        <w:pStyle w:val="BodyText"/>
        <w:spacing w:before="0" w:after="0"/>
        <w:ind w:hanging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ab/>
        <w:t>Юридические лица: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-заверенные копии учредительных документов;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Физические лица</w:t>
      </w:r>
      <w:r>
        <w:rPr>
          <w:rFonts w:eastAsia="Calibri"/>
          <w:sz w:val="24"/>
          <w:szCs w:val="24"/>
        </w:rPr>
        <w:t xml:space="preserve"> – копию </w:t>
      </w:r>
      <w:r>
        <w:rPr>
          <w:rFonts w:eastAsia="Calibri"/>
          <w:sz w:val="24"/>
          <w:szCs w:val="24"/>
          <w:u w:val="none"/>
        </w:rPr>
        <w:t xml:space="preserve">всех листов </w:t>
      </w:r>
      <w:r>
        <w:rPr>
          <w:rFonts w:eastAsia="Calibri"/>
          <w:sz w:val="24"/>
          <w:szCs w:val="24"/>
        </w:rPr>
        <w:t>документа, удостоверяющего личность.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  <w:u w:val="none"/>
        </w:rPr>
        <w:t>В случае, если от имени претендента действует его представитель по доверенности,</w:t>
      </w:r>
      <w:r>
        <w:rPr>
          <w:sz w:val="24"/>
          <w:szCs w:val="24"/>
        </w:rPr>
        <w:t xml:space="preserve">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Одно лицо имеет право подать только одну заявку на один объект приватизации.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b/>
          <w:sz w:val="24"/>
          <w:szCs w:val="24"/>
        </w:rPr>
        <w:t xml:space="preserve">9. Срок заключения договора купли-продажи: </w:t>
      </w:r>
      <w:r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течении 5 рабочих дней со дня подведения итогов с победителем заключается договор купли-продажи. </w:t>
      </w:r>
      <w:r>
        <w:rPr>
          <w:rFonts w:eastAsia="Lucida Sans Unicode" w:cs="Times New Roman"/>
          <w:b/>
          <w:kern w:val="2"/>
          <w:sz w:val="24"/>
          <w:szCs w:val="24"/>
          <w:lang w:bidi="hi-IN"/>
        </w:rPr>
        <w:t>Имущество и вся необходимая документация на него передается от Продавца к Покупателю после полной оплаты Покупателем цены Имущества.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 уклонении (отказе) победителя продажи электронного аукциона от заключения в указанный срок договора купли-продажи победитель утрачивает право на заключение указанного договора купли-продажи  и задаток ему не возвращается. 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10.  Условия и сроки платежа, необходимые реквизиты счетов.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по договору купли-продажи производится единовременно в течение 10 (десяти)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календарных</w:t>
      </w:r>
      <w:r>
        <w:rPr>
          <w:sz w:val="24"/>
          <w:szCs w:val="24"/>
        </w:rPr>
        <w:t xml:space="preserve"> дней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момента</w:t>
      </w:r>
      <w:r>
        <w:rPr>
          <w:sz w:val="24"/>
          <w:szCs w:val="24"/>
        </w:rPr>
        <w:t xml:space="preserve"> подписания указанного договора, по безналичному расчету по следующим реквизитам собственника имущества: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Получатель: УФК по Ивановской области (Отдел по управлению муниципальным имуществом администрации Ивановского муниципального района)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 xml:space="preserve">лицевой счет: </w:t>
      </w:r>
      <w:r>
        <w:rPr>
          <w:sz w:val="24"/>
          <w:szCs w:val="24"/>
        </w:rPr>
        <w:t>04333026680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 xml:space="preserve">ИНН/КПП: </w:t>
      </w:r>
      <w:r>
        <w:rPr>
          <w:sz w:val="24"/>
          <w:szCs w:val="24"/>
        </w:rPr>
        <w:t>3711031481/371101001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>Р/счет: 03100643000000013300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>Единый казначейский счет (кор.сч.) 40102810645370000025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 xml:space="preserve">Банк получателя: </w:t>
      </w:r>
      <w:r>
        <w:rPr>
          <w:sz w:val="24"/>
          <w:szCs w:val="24"/>
        </w:rPr>
        <w:t>ОТДЕЛЕНИЕ ИВАНОВО БАНКА РОССИИ//УФК ПО ИВАНОВСКОЙ ОБЛАСТИ г.Иваново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БИК 012406500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ОКТМО 24607000</w:t>
      </w:r>
    </w:p>
    <w:p>
      <w:pPr>
        <w:pStyle w:val="Normal"/>
        <w:rPr>
          <w:sz w:val="24"/>
          <w:szCs w:val="24"/>
        </w:rPr>
      </w:pPr>
      <w:r>
        <w:rPr>
          <w:color w:val="000000"/>
          <w:kern w:val="2"/>
          <w:sz w:val="24"/>
          <w:szCs w:val="24"/>
          <w:shd w:fill="FFFFFF" w:val="clear"/>
          <w:lang w:bidi="hi-IN"/>
        </w:rPr>
        <w:t xml:space="preserve"> </w:t>
      </w:r>
      <w:r>
        <w:rPr>
          <w:rFonts w:eastAsia="Lucida Sans Unicode"/>
          <w:color w:val="000000"/>
          <w:kern w:val="2"/>
          <w:sz w:val="24"/>
          <w:szCs w:val="24"/>
          <w:shd w:fill="FFFFFF" w:val="clear"/>
          <w:lang w:bidi="hi-IN"/>
        </w:rPr>
        <w:t>КБК 011 11402053050000410</w:t>
      </w:r>
    </w:p>
    <w:p>
      <w:pPr>
        <w:pStyle w:val="Normal"/>
        <w:rPr>
          <w:sz w:val="24"/>
          <w:szCs w:val="24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shd w:fill="FFFFFF" w:val="clear"/>
          <w:lang w:bidi="hi-IN"/>
        </w:rPr>
        <w:t xml:space="preserve"> </w:t>
      </w:r>
      <w:r>
        <w:rPr>
          <w:rFonts w:eastAsia="Lucida Sans Unicode"/>
          <w:b/>
          <w:bCs/>
          <w:color w:val="000000"/>
          <w:kern w:val="2"/>
          <w:sz w:val="24"/>
          <w:szCs w:val="24"/>
          <w:shd w:fill="FFFFFF" w:val="clear"/>
          <w:lang w:bidi="hi-IN"/>
        </w:rPr>
        <w:tab/>
        <w:t>Назначение платежа - оплата по договору купли-продажи имущества, находящегося в собственности Ивановского муниципального района (указывается номер Лота).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11. Порядок ознакомления участников торгов с условиями договора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b/>
          <w:sz w:val="24"/>
          <w:szCs w:val="24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С условиями договора заключаемого по итогам проведения продажи</w:t>
      </w:r>
      <w:r>
        <w:rPr>
          <w:rFonts w:eastAsia="Calibri"/>
          <w:sz w:val="24"/>
          <w:szCs w:val="24"/>
          <w:lang w:eastAsia="en-US"/>
        </w:rPr>
        <w:t xml:space="preserve"> имущества </w:t>
      </w:r>
      <w:r>
        <w:rPr>
          <w:rFonts w:eastAsia="Calibri" w:cs="Times New Roman"/>
          <w:color w:val="auto"/>
          <w:kern w:val="0"/>
          <w:sz w:val="24"/>
          <w:szCs w:val="24"/>
          <w:lang w:val="ru-RU" w:eastAsia="en-US" w:bidi="ar-SA"/>
        </w:rPr>
        <w:t>электронного аукциона</w:t>
      </w:r>
      <w:r>
        <w:rPr>
          <w:rFonts w:eastAsia="Calibri"/>
          <w:sz w:val="24"/>
          <w:szCs w:val="24"/>
        </w:rPr>
        <w:t xml:space="preserve">, можно ознакомиться </w:t>
      </w:r>
      <w:r>
        <w:rPr>
          <w:sz w:val="24"/>
          <w:szCs w:val="24"/>
        </w:rPr>
        <w:t xml:space="preserve">с даты размещения информационного сообщения на электронной площадке </w:t>
      </w:r>
      <w:r>
        <w:rPr>
          <w:bCs/>
          <w:color w:val="0070C0"/>
          <w:sz w:val="24"/>
          <w:szCs w:val="24"/>
          <w:u w:val="single"/>
        </w:rPr>
        <w:t>https://www.roseltorg.ru/</w:t>
      </w:r>
      <w:r>
        <w:rPr>
          <w:rFonts w:eastAsia="Calibri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до даты окончания срока приема заявок на участие в продаже вправе осмотреть выставленное на продажу имущество.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Для осмотра объектов, с учетом установленных сроков, лицо, желающее осмотреть движимое 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>имущество</w:t>
      </w:r>
      <w:r>
        <w:rPr>
          <w:b w:val="false"/>
          <w:bCs w:val="false"/>
          <w:sz w:val="24"/>
          <w:szCs w:val="24"/>
        </w:rPr>
        <w:t>, направляет обращение по электронной почте:</w:t>
      </w:r>
      <w:r>
        <w:rPr>
          <w:b w:val="false"/>
          <w:bCs w:val="false"/>
          <w:i/>
          <w:iCs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uio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.ivrn@ivreg.ru</w:t>
      </w:r>
      <w:r>
        <w:rPr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 xml:space="preserve"> или по телефону: </w:t>
      </w:r>
      <w:r>
        <w:rPr>
          <w:b w:val="false"/>
          <w:bCs w:val="false"/>
          <w:sz w:val="24"/>
          <w:szCs w:val="24"/>
          <w:lang w:val="ru-RU"/>
        </w:rPr>
        <w:t xml:space="preserve">+7(4932) 30-14-21 </w:t>
      </w:r>
      <w:r>
        <w:rPr>
          <w:b w:val="false"/>
          <w:bCs w:val="false"/>
          <w:sz w:val="24"/>
          <w:szCs w:val="24"/>
        </w:rPr>
        <w:t>с указанием следующих данных: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ab/>
        <w:t>- тема письма: Запрос на осмотр не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en-US"/>
        </w:rPr>
        <w:t>движимого имущества</w:t>
      </w:r>
      <w:r>
        <w:rPr>
          <w:b w:val="false"/>
          <w:bCs w:val="false"/>
          <w:color w:val="000000"/>
          <w:sz w:val="24"/>
          <w:szCs w:val="24"/>
          <w:lang w:eastAsia="en-US"/>
        </w:rPr>
        <w:t xml:space="preserve"> (лота);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ab/>
        <w:t xml:space="preserve">- Ф.И.О. лица, уполномоченного на осмотр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en-US"/>
        </w:rPr>
        <w:t>движимого имущества</w:t>
      </w:r>
      <w:r>
        <w:rPr>
          <w:b w:val="false"/>
          <w:bCs w:val="false"/>
          <w:color w:val="000000"/>
          <w:sz w:val="24"/>
          <w:szCs w:val="24"/>
          <w:lang w:eastAsia="en-US"/>
        </w:rPr>
        <w:t xml:space="preserve"> (лота) (физического лица, индивидуального предпринимателя, руководителя юридического лица или их представителей);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ab/>
        <w:t>- наименование юридического лица (для юридического лица);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ab/>
        <w:t>- почтовый адрес или адрес электронной почты, контактный телефон;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ab/>
        <w:t>- дата аукциона.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12. Возможность отказаться от проведения Процедуры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rFonts w:eastAsia="Calibri"/>
          <w:b/>
          <w:bCs/>
          <w:color w:val="1C1C1C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Продавец вправе отказаться от проведения </w:t>
      </w:r>
      <w:r>
        <w:rPr>
          <w:sz w:val="24"/>
          <w:szCs w:val="24"/>
        </w:rPr>
        <w:t>продажи электронного аукциона</w:t>
      </w:r>
      <w:r>
        <w:rPr>
          <w:rFonts w:eastAsia="Calibri"/>
          <w:sz w:val="24"/>
          <w:szCs w:val="24"/>
        </w:rPr>
        <w:t xml:space="preserve"> в любое время, но не позднее, чем за 3(три) дня до наступления даты его проведения.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>
      <w:pPr>
        <w:pStyle w:val="BodyText"/>
        <w:spacing w:before="0" w:after="0"/>
        <w:ind w:firstLine="283"/>
        <w:rPr/>
      </w:pPr>
      <w:r>
        <w:rPr>
          <w:sz w:val="24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3">
        <w:r>
          <w:rPr>
            <w:sz w:val="24"/>
            <w:szCs w:val="24"/>
          </w:rPr>
          <w:t>www.torgi.gov.ru</w:t>
        </w:r>
      </w:hyperlink>
      <w:r>
        <w:rPr>
          <w:sz w:val="24"/>
          <w:szCs w:val="24"/>
        </w:rPr>
        <w:t xml:space="preserve"> и на электронной площадке </w:t>
      </w:r>
      <w:r>
        <w:rPr>
          <w:color w:val="0070C0"/>
          <w:sz w:val="24"/>
          <w:szCs w:val="24"/>
          <w:u w:val="single"/>
        </w:rPr>
        <w:t>https://www.roseltorg.ru/</w:t>
      </w:r>
      <w:r>
        <w:rPr>
          <w:rStyle w:val="Strong"/>
          <w:sz w:val="24"/>
          <w:szCs w:val="24"/>
        </w:rPr>
        <w:t>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25 (двадцать пять)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ab/>
        <w:t>13. Условия участия в продаже посредством аукциона в электронной форме</w:t>
      </w:r>
      <w:r>
        <w:rPr>
          <w:b/>
          <w:bCs/>
          <w:sz w:val="24"/>
          <w:szCs w:val="24"/>
        </w:rPr>
        <w:t>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Федерального закона №178-фз</w:t>
      </w:r>
      <w:r>
        <w:rPr>
          <w:sz w:val="24"/>
          <w:szCs w:val="24"/>
          <w:lang w:eastAsia="zh-CN"/>
        </w:rPr>
        <w:t>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Претендент не допускается к участию </w:t>
      </w:r>
      <w:r>
        <w:rPr>
          <w:b/>
          <w:sz w:val="24"/>
          <w:szCs w:val="24"/>
        </w:rPr>
        <w:t>в продаже посредством аукциона</w:t>
      </w:r>
      <w:r>
        <w:rPr>
          <w:b/>
          <w:bCs/>
          <w:sz w:val="24"/>
          <w:szCs w:val="24"/>
        </w:rPr>
        <w:t xml:space="preserve"> по следующим основаниям: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Федерации; 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 муниципального имущества посредством электронного аукциона, или оформление представленных документов не соответствует законодательству Российской Федерации;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 заявка на участие в продаже имущества посредством аукциона подана лицом, не уполномоченным претендентом на осуществление таких действий.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14. Порядок и срок отзыва заявок, порядок внесения изменений в заявку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Претендент имеет право не позднее дня окончания приема заявок отозвать поданную заявку на участие в продаже имущества путем направления уведомления об отзыве заявки на электронную площадку.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15. Проведение продажи имущества посредством аукциона в электронной форме: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ab/>
        <w:t>15.1.</w:t>
      </w:r>
      <w:r>
        <w:rPr>
          <w:b/>
          <w:sz w:val="24"/>
          <w:szCs w:val="24"/>
        </w:rPr>
        <w:t xml:space="preserve"> Определение участников продажи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В день определения участников, указанный в информационном сообщении о продаже имущества посредством аукциона,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  <w:tab/>
      </w:r>
      <w:r>
        <w:rPr>
          <w:rFonts w:eastAsia="Calibri"/>
          <w:bCs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</w:t>
      </w:r>
      <w:r>
        <w:rPr>
          <w:rFonts w:eastAsia="Calibri" w:eastAsiaTheme="minorHAnsi"/>
          <w:bCs/>
          <w:sz w:val="24"/>
          <w:szCs w:val="24"/>
          <w:lang w:eastAsia="en-US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</w:t>
      </w:r>
      <w:r>
        <w:rPr>
          <w:rFonts w:eastAsia="Calibri" w:cs="Times New Roman" w:eastAsiaTheme="minorHAnsi"/>
          <w:bCs/>
          <w:color w:val="auto"/>
          <w:kern w:val="0"/>
          <w:sz w:val="24"/>
          <w:szCs w:val="24"/>
          <w:lang w:val="ru-RU" w:eastAsia="en-US" w:bidi="ar-SA"/>
        </w:rPr>
        <w:t>электронного аукциона</w:t>
      </w:r>
      <w:r>
        <w:rPr>
          <w:rFonts w:eastAsia="Calibri" w:eastAsiaTheme="minorHAnsi"/>
          <w:bCs/>
          <w:sz w:val="24"/>
          <w:szCs w:val="24"/>
          <w:lang w:eastAsia="en-US"/>
        </w:rPr>
        <w:t>, с указанием оснований отказа.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Претендент приобретает статус участника продажи с момента подписания протокола о признании Претендентов участниками продажи.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rFonts w:eastAsia="Calibri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>
        <w:rPr>
          <w:sz w:val="24"/>
          <w:szCs w:val="24"/>
        </w:rPr>
        <w:t xml:space="preserve">. </w:t>
      </w:r>
    </w:p>
    <w:p>
      <w:pPr>
        <w:pStyle w:val="BodyText"/>
        <w:spacing w:before="0" w:after="0"/>
        <w:ind w:firstLine="283"/>
        <w:rPr/>
      </w:pPr>
      <w:r>
        <w:rPr>
          <w:rFonts w:eastAsia="Calibri"/>
          <w:sz w:val="24"/>
          <w:szCs w:val="24"/>
        </w:rPr>
        <w:t>Информация о претендентах, не допущенных к участию в аукционе, размещается в открытой части</w:t>
      </w:r>
      <w:r>
        <w:rPr>
          <w:sz w:val="24"/>
          <w:szCs w:val="24"/>
        </w:rPr>
        <w:t xml:space="preserve"> электронной площадки </w:t>
      </w:r>
      <w:hyperlink r:id="rId4">
        <w:r>
          <w:rPr>
            <w:sz w:val="24"/>
            <w:szCs w:val="24"/>
          </w:rPr>
          <w:t>https://www.roseltorg.ru/</w:t>
        </w:r>
      </w:hyperlink>
      <w:r>
        <w:rPr>
          <w:sz w:val="24"/>
          <w:szCs w:val="24"/>
        </w:rPr>
        <w:t>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15.2. Порядок проведения продажи посредством аукциона в электронной форме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Процедура продажи в электронной форме проводится в день и во время, указанные в информационном сообщении о продаже муниципального имущества посредством аукциона, путем последовательного повышения цены первоначального предложения на величину, равную величине «шага».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«Шаг» устанавливается Продавцом в фиксированной сумме и не изменяется в течение всей процедуры продажи имущества.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аукциона в электронной форме и 10 минут на представление предложений о цене имущества на каждом «шаге». Если в течении 10 минут после представления последнего предложения о цене имущества следующее предложение не поступило аукцион с помощью программных средств завершается.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Победителем признается участник, предложивший более высокую цену.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Начальной ценой имущества на аукционе является соответственно первоначальная цена предложения. Время приема предложений участников о цене имущества составляет 10 минут. «Шаг аукциона» устанавливается Продавцом в фиксированной сумме и не изменяется в течение всей процедуры продажи в электронной форме.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В случае, если участники продажи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Со времени начала проведения процедуры продажи имущества посредством аукциона оператором электронной площадки размещается: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повышения" и "шаг аукциона", время, оставшееся до окончания приема предложений о цене имущества 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Во время проведения процедуры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Ход проведения процедуры продажи посредством аукциона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в электронной форме путем оформления протокола об итогах такой продажи.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Протокол об итогах продажи имущества посредством аукциона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Процедура продажи посредством аукциона в электронной форме считается завершенной со времени подписания протокола об итогах такой продажи.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  <w:t>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 наименование имущества и иные позволяющие его индивидуализировать сведения;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- цена сделки;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15.3. Продажа имущества посредством аукциона признается несостоявшейся в следующих случаях: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а) не было подано ни одной заявки на участие либо ни один из претендентов не признан участником такой продажи;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б) </w:t>
      </w:r>
      <w:r>
        <w:rPr>
          <w:rFonts w:eastAsia="Calibri"/>
          <w:color w:val="000000"/>
          <w:sz w:val="24"/>
          <w:szCs w:val="24"/>
          <w:lang w:eastAsia="en-US"/>
        </w:rPr>
        <w:t>лицо, признанное единственным участником аукциона, отказалось от заключения договора купли-продажи;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в) ни один из участников не сделал предложение о начальной цене имущества.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Решение о признании аукциона несостоявшейся оформляется протоколом об итогах аукциона.</w:t>
      </w:r>
    </w:p>
    <w:p>
      <w:pPr>
        <w:pStyle w:val="BodyText"/>
        <w:spacing w:before="0" w:after="0"/>
        <w:ind w:firstLine="283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продажи имущества посредством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pStyle w:val="BodyText"/>
        <w:spacing w:before="0" w:after="0"/>
        <w:ind w:firstLine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28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before="0" w:after="0"/>
        <w:ind w:hanging="0" w:left="-567" w:right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к информационному сообщению</w:t>
      </w:r>
    </w:p>
    <w:p>
      <w:pPr>
        <w:pStyle w:val="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284" w:left="0" w:right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ЗАЯВКА НА УЧАСТИЕ В ТОРГАХ</w:t>
      </w:r>
    </w:p>
    <w:p>
      <w:pPr>
        <w:pStyle w:val="BodyText"/>
        <w:spacing w:before="0" w:after="0"/>
        <w:ind w:hanging="0" w:left="764" w:right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 ПРОДАЖЕ МУНИЦИПАЛЬНОГО  ИМУЩЕСТВА НА АУКЦИОНЕ В ЭЛЕКТРОННОЙ ФОРМЕ</w:t>
      </w:r>
    </w:p>
    <w:p>
      <w:pPr>
        <w:pStyle w:val="BodyText"/>
        <w:spacing w:before="0" w:after="0"/>
        <w:ind w:hanging="0" w:left="764" w:right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spacing w:lineRule="auto" w:line="240" w:before="0" w:after="0"/>
        <w:ind w:firstLine="540"/>
        <w:jc w:val="center"/>
        <w:rPr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(раздел представлен в отдельном приложении)</w:t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0" w:after="0"/>
        <w:ind w:firstLine="851" w:left="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  <w:lang w:val="x-none" w:eastAsia="x-none"/>
        </w:rPr>
        <w:t xml:space="preserve">Приложение </w:t>
      </w:r>
      <w:sdt>
        <w:sdtPr>
          <w:alias w:val="Appendix"/>
          <w:text/>
        </w:sdtPr>
        <w:sdtContent>
          <w:r>
            <w:rPr>
              <w:sz w:val="24"/>
              <w:szCs w:val="24"/>
              <w:lang w:val="x-none" w:eastAsia="x-none"/>
            </w:rPr>
          </w:r>
          <w:r>
            <w:rPr>
              <w:sz w:val="24"/>
              <w:szCs w:val="24"/>
            </w:rPr>
            <w:t>2</w:t>
          </w:r>
        </w:sdtContent>
      </w:sdt>
    </w:p>
    <w:p>
      <w:pPr>
        <w:pStyle w:val="Normal"/>
        <w:tabs>
          <w:tab w:val="clear" w:pos="408"/>
          <w:tab w:val="right" w:pos="9355" w:leader="none"/>
        </w:tabs>
        <w:spacing w:lineRule="auto" w:line="240" w:before="0" w:after="0"/>
        <w:ind w:hanging="0" w:left="-567" w:right="-1"/>
        <w:jc w:val="right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к информационному сообщению </w:t>
      </w:r>
    </w:p>
    <w:p>
      <w:pPr>
        <w:pStyle w:val="Normal"/>
        <w:tabs>
          <w:tab w:val="clear" w:pos="408"/>
          <w:tab w:val="right" w:pos="9355" w:leader="none"/>
        </w:tabs>
        <w:spacing w:lineRule="auto" w:line="240" w:before="0" w:after="0"/>
        <w:ind w:hanging="0" w:left="-567" w:right="-1"/>
        <w:jc w:val="right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408"/>
          <w:tab w:val="right" w:pos="9355" w:leader="none"/>
        </w:tabs>
        <w:spacing w:lineRule="auto" w:line="240" w:before="0" w:after="0"/>
        <w:ind w:hanging="0" w:left="-567" w:right="-1"/>
        <w:jc w:val="right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/>
          <w:b/>
          <w:spacing w:val="-15"/>
          <w:sz w:val="24"/>
          <w:szCs w:val="24"/>
        </w:rPr>
      </w:pPr>
      <w:r>
        <w:rPr>
          <w:b/>
          <w:spacing w:val="-15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ПРОЕКТ ДОГОВОРА </w:t>
      </w:r>
    </w:p>
    <w:p>
      <w:pPr>
        <w:pStyle w:val="Normal"/>
        <w:spacing w:lineRule="auto" w:line="240" w:before="0" w:after="0"/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купли-продажи №______</w:t>
      </w:r>
    </w:p>
    <w:p>
      <w:pPr>
        <w:pStyle w:val="Normal"/>
        <w:spacing w:lineRule="auto" w:line="240" w:before="0" w:after="0"/>
        <w:ind w:firstLine="54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(раздел представлен в отдельном приложении)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(Рекомендуемая форма)</w:t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>
      <w:pPr>
        <w:pStyle w:val="Normal"/>
        <w:tabs>
          <w:tab w:val="clear" w:pos="408"/>
          <w:tab w:val="left" w:pos="5655" w:leader="none"/>
        </w:tabs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(при наличии доли)</w:t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1"/>
        <w:gridCol w:w="9288"/>
      </w:tblGrid>
      <w:tr>
        <w:trPr/>
        <w:tc>
          <w:tcPr>
            <w:tcW w:w="281" w:type="dxa"/>
            <w:tcBorders/>
          </w:tcPr>
          <w:p>
            <w:pPr>
              <w:pStyle w:val="Normal"/>
              <w:tabs>
                <w:tab w:val="clear" w:pos="408"/>
                <w:tab w:val="left" w:pos="9320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88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  <w:tab w:val="left" w:pos="9320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1" w:hRule="atLeast"/>
        </w:trPr>
        <w:tc>
          <w:tcPr>
            <w:tcW w:w="956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bscript"/>
              </w:rPr>
              <w:t>(наименование юридического лица)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составляет________________________(_______________________________________________) процентов. </w:t>
      </w:r>
      <w:r>
        <w:rPr>
          <w:i/>
          <w:sz w:val="24"/>
          <w:szCs w:val="24"/>
          <w:vertAlign w:val="subscript"/>
        </w:rPr>
        <w:t xml:space="preserve">                          (цифрами)                                                                              (прописью)</w:t>
      </w:r>
    </w:p>
    <w:p>
      <w:pPr>
        <w:pStyle w:val="Normal"/>
        <w:tabs>
          <w:tab w:val="clear" w:pos="408"/>
          <w:tab w:val="left" w:pos="851" w:leader="none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851" w:leader="none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                    _________________</w:t>
        <w:tab/>
        <w:t>________________________</w:t>
      </w:r>
    </w:p>
    <w:p>
      <w:pPr>
        <w:pStyle w:val="Normal"/>
        <w:tabs>
          <w:tab w:val="clear" w:pos="408"/>
          <w:tab w:val="left" w:pos="851" w:leader="none"/>
        </w:tabs>
        <w:ind w:firstLine="284"/>
        <w:rPr>
          <w:sz w:val="24"/>
          <w:szCs w:val="24"/>
        </w:rPr>
      </w:pPr>
      <w:r>
        <w:rPr>
          <w:i/>
          <w:sz w:val="24"/>
          <w:szCs w:val="24"/>
          <w:vertAlign w:val="subscript"/>
        </w:rPr>
        <w:t xml:space="preserve">  </w:t>
      </w:r>
      <w:r>
        <w:rPr>
          <w:i/>
          <w:sz w:val="24"/>
          <w:szCs w:val="24"/>
          <w:vertAlign w:val="subscript"/>
        </w:rPr>
        <w:t>(наименование должности)                                       (подпись)</w:t>
        <w:tab/>
        <w:t xml:space="preserve">          (Ф.И.О.)</w:t>
      </w:r>
    </w:p>
    <w:p>
      <w:pPr>
        <w:pStyle w:val="Normal"/>
        <w:tabs>
          <w:tab w:val="clear" w:pos="408"/>
          <w:tab w:val="left" w:pos="1110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(Рекомендуемая форма)</w:t>
      </w:r>
    </w:p>
    <w:p>
      <w:pPr>
        <w:pStyle w:val="Normal"/>
        <w:tabs>
          <w:tab w:val="clear" w:pos="408"/>
          <w:tab w:val="left" w:pos="56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5655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>
      <w:pPr>
        <w:pStyle w:val="Normal"/>
        <w:tabs>
          <w:tab w:val="clear" w:pos="408"/>
          <w:tab w:val="left" w:pos="5655" w:leader="none"/>
        </w:tabs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(при  отсутствии доли)</w:t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1"/>
        <w:gridCol w:w="9288"/>
      </w:tblGrid>
      <w:tr>
        <w:trPr/>
        <w:tc>
          <w:tcPr>
            <w:tcW w:w="281" w:type="dxa"/>
            <w:tcBorders/>
          </w:tcPr>
          <w:p>
            <w:pPr>
              <w:pStyle w:val="Normal"/>
              <w:tabs>
                <w:tab w:val="clear" w:pos="408"/>
                <w:tab w:val="left" w:pos="9320" w:leader="none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88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408"/>
                <w:tab w:val="left" w:pos="9320" w:leader="none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1" w:hRule="atLeast"/>
        </w:trPr>
        <w:tc>
          <w:tcPr>
            <w:tcW w:w="9569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bscript"/>
              </w:rPr>
              <w:t>(наименование юридического лица)</w:t>
            </w:r>
          </w:p>
        </w:tc>
      </w:tr>
    </w:tbl>
    <w:p>
      <w:pPr>
        <w:pStyle w:val="Normal"/>
        <w:tabs>
          <w:tab w:val="clear" w:pos="408"/>
          <w:tab w:val="left" w:pos="565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>
      <w:pPr>
        <w:pStyle w:val="Normal"/>
        <w:tabs>
          <w:tab w:val="clear" w:pos="408"/>
          <w:tab w:val="left" w:pos="851" w:leader="none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____________________                    _________________</w:t>
        <w:tab/>
        <w:t>________________________</w:t>
      </w:r>
    </w:p>
    <w:p>
      <w:pPr>
        <w:pStyle w:val="Normal"/>
        <w:rPr>
          <w:sz w:val="24"/>
          <w:szCs w:val="24"/>
        </w:rPr>
      </w:pPr>
      <w:r>
        <w:rPr>
          <w:i/>
          <w:sz w:val="24"/>
          <w:szCs w:val="24"/>
          <w:vertAlign w:val="subscript"/>
        </w:rPr>
        <w:t xml:space="preserve">  </w:t>
      </w:r>
      <w:r>
        <w:rPr>
          <w:i/>
          <w:sz w:val="24"/>
          <w:szCs w:val="24"/>
          <w:vertAlign w:val="subscript"/>
        </w:rPr>
        <w:t>(наименование должности)                                       (подпись)</w:t>
        <w:tab/>
        <w:t xml:space="preserve"> (Ф.И.О.)</w:t>
      </w:r>
      <w:bookmarkStart w:id="1" w:name="_GoBack"/>
      <w:bookmarkEnd w:id="1"/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566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73" w:hanging="59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364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14d93"/>
    <w:rPr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qFormat/>
    <w:rsid w:val="0029364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sid w:val="0029364d"/>
    <w:rPr>
      <w:b/>
      <w:bCs/>
    </w:rPr>
  </w:style>
  <w:style w:type="character" w:styleId="3" w:customStyle="1">
    <w:name w:val="Основной текст с отступом 3 Знак"/>
    <w:basedOn w:val="DefaultParagraphFont"/>
    <w:uiPriority w:val="99"/>
    <w:qFormat/>
    <w:rsid w:val="004f707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" w:customStyle="1">
    <w:name w:val="Заголовок 7 Знак"/>
    <w:basedOn w:val="DefaultParagraphFont"/>
    <w:link w:val="71"/>
    <w:qFormat/>
    <w:rsid w:val="004f707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4" w:customStyle="1">
    <w:name w:val="Без интервала Знак"/>
    <w:uiPriority w:val="99"/>
    <w:qFormat/>
    <w:locked/>
    <w:rsid w:val="00036a6c"/>
    <w:rPr>
      <w:rFonts w:ascii="Calibri" w:hAnsi="Calibri" w:eastAsia="Times New Roman" w:cs="Times New Roman"/>
    </w:rPr>
  </w:style>
  <w:style w:type="character" w:styleId="Style15" w:customStyle="1">
    <w:name w:val="Основной текст Знак"/>
    <w:basedOn w:val="DefaultParagraphFont"/>
    <w:qFormat/>
    <w:rsid w:val="00b57ab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1">
    <w:name w:val="ConsPlusNormal Знак"/>
    <w:uiPriority w:val="99"/>
    <w:qFormat/>
    <w:locked/>
    <w:rsid w:val="008f7ff9"/>
    <w:rPr>
      <w:rFonts w:ascii="Arial" w:hAnsi="Arial" w:eastAsia="Calibri" w:cs="Arial"/>
      <w:sz w:val="20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84416b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446adb"/>
    <w:rPr>
      <w:rFonts w:ascii="Tahoma" w:hAnsi="Tahoma" w:eastAsia="Times New Roman" w:cs="Tahoma"/>
      <w:sz w:val="16"/>
      <w:szCs w:val="16"/>
      <w:lang w:eastAsia="ru-RU"/>
    </w:rPr>
  </w:style>
  <w:style w:type="character" w:styleId="FontStyle21" w:customStyle="1">
    <w:name w:val="Font Style21"/>
    <w:qFormat/>
    <w:rsid w:val="0062762d"/>
    <w:rPr>
      <w:rFonts w:ascii="Times New Roman" w:hAnsi="Times New Roman" w:cs="Times New Roman"/>
      <w:b/>
      <w:bCs/>
      <w:sz w:val="16"/>
      <w:szCs w:val="16"/>
    </w:rPr>
  </w:style>
  <w:style w:type="character" w:styleId="Iceouttxt" w:customStyle="1">
    <w:name w:val="iceouttxt"/>
    <w:basedOn w:val="DefaultParagraphFont"/>
    <w:qFormat/>
    <w:rsid w:val="0062762d"/>
    <w:rPr/>
  </w:style>
  <w:style w:type="character" w:styleId="WW8Num1z0" w:customStyle="1">
    <w:name w:val="WW8Num1z0"/>
    <w:qFormat/>
    <w:rsid w:val="00c727e0"/>
    <w:rPr>
      <w:rFonts w:ascii="Times New Roman" w:hAnsi="Times New Roman" w:eastAsia="Lucida Sans Unicode" w:cs="Times New Roman"/>
      <w:b/>
      <w:color w:val="000000"/>
      <w:kern w:val="2"/>
      <w:sz w:val="24"/>
      <w:szCs w:val="24"/>
      <w:lang w:eastAsia="zh-CN" w:bidi="hi-IN"/>
    </w:rPr>
  </w:style>
  <w:style w:type="character" w:styleId="WW8Num1z2" w:customStyle="1">
    <w:name w:val="WW8Num1z2"/>
    <w:qFormat/>
    <w:rsid w:val="00c727e0"/>
    <w:rPr/>
  </w:style>
  <w:style w:type="character" w:styleId="WW8Num1z3" w:customStyle="1">
    <w:name w:val="WW8Num1z3"/>
    <w:qFormat/>
    <w:rsid w:val="00c727e0"/>
    <w:rPr/>
  </w:style>
  <w:style w:type="character" w:styleId="WW8Num1z4" w:customStyle="1">
    <w:name w:val="WW8Num1z4"/>
    <w:qFormat/>
    <w:rsid w:val="00c727e0"/>
    <w:rPr/>
  </w:style>
  <w:style w:type="character" w:styleId="WW8Num1z5" w:customStyle="1">
    <w:name w:val="WW8Num1z5"/>
    <w:qFormat/>
    <w:rsid w:val="00c727e0"/>
    <w:rPr/>
  </w:style>
  <w:style w:type="character" w:styleId="WW8Num1z6" w:customStyle="1">
    <w:name w:val="WW8Num1z6"/>
    <w:qFormat/>
    <w:rsid w:val="00c727e0"/>
    <w:rPr/>
  </w:style>
  <w:style w:type="character" w:styleId="WW8Num1z7" w:customStyle="1">
    <w:name w:val="WW8Num1z7"/>
    <w:qFormat/>
    <w:rsid w:val="00c727e0"/>
    <w:rPr/>
  </w:style>
  <w:style w:type="character" w:styleId="WW8Num1z8" w:customStyle="1">
    <w:name w:val="WW8Num1z8"/>
    <w:qFormat/>
    <w:rsid w:val="00c727e0"/>
    <w:rPr/>
  </w:style>
  <w:style w:type="character" w:styleId="WW8Num2z1" w:customStyle="1">
    <w:name w:val="WW8Num2z1"/>
    <w:qFormat/>
    <w:rsid w:val="00b54107"/>
    <w:rPr/>
  </w:style>
  <w:style w:type="paragraph" w:styleId="Style18" w:customStyle="1">
    <w:name w:val="Заголовок"/>
    <w:basedOn w:val="Normal"/>
    <w:next w:val="BodyText"/>
    <w:qFormat/>
    <w:rsid w:val="00c727e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nhideWhenUsed/>
    <w:rsid w:val="00b57ab8"/>
    <w:pPr>
      <w:spacing w:before="0" w:after="120"/>
      <w:jc w:val="both"/>
    </w:pPr>
    <w:rPr/>
  </w:style>
  <w:style w:type="paragraph" w:styleId="List">
    <w:name w:val="List"/>
    <w:basedOn w:val="BodyText"/>
    <w:rsid w:val="00c727e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71" w:customStyle="1">
    <w:name w:val="Заголовок 71"/>
    <w:basedOn w:val="Normal"/>
    <w:next w:val="Normal"/>
    <w:link w:val="7"/>
    <w:qFormat/>
    <w:rsid w:val="004f707b"/>
    <w:pPr>
      <w:keepNext w:val="true"/>
      <w:outlineLvl w:val="6"/>
    </w:pPr>
    <w:rPr>
      <w:b/>
      <w:sz w:val="28"/>
    </w:rPr>
  </w:style>
  <w:style w:type="paragraph" w:styleId="1" w:customStyle="1">
    <w:name w:val="Название объекта1"/>
    <w:basedOn w:val="Normal"/>
    <w:qFormat/>
    <w:rsid w:val="00c727e0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c727e0"/>
    <w:pPr>
      <w:suppressLineNumbers/>
    </w:pPr>
    <w:rPr>
      <w:rFonts w:cs="Arial"/>
    </w:rPr>
  </w:style>
  <w:style w:type="paragraph" w:styleId="BodyTextIndent2">
    <w:name w:val="Body Text Indent 2"/>
    <w:basedOn w:val="Normal"/>
    <w:unhideWhenUsed/>
    <w:qFormat/>
    <w:rsid w:val="0029364d"/>
    <w:pPr>
      <w:spacing w:lineRule="auto" w:line="480" w:before="0" w:after="120"/>
      <w:ind w:hanging="0" w:left="283"/>
    </w:pPr>
    <w:rPr/>
  </w:style>
  <w:style w:type="paragraph" w:styleId="Headdoc" w:customStyle="1">
    <w:name w:val="headdoc"/>
    <w:qFormat/>
    <w:rsid w:val="0029364d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4"/>
      <w:szCs w:val="22"/>
      <w:lang w:val="ru-RU" w:eastAsia="ar-SA" w:bidi="ar-SA"/>
    </w:rPr>
  </w:style>
  <w:style w:type="paragraph" w:styleId="Rezul" w:customStyle="1">
    <w:name w:val="rezul"/>
    <w:basedOn w:val="Normal"/>
    <w:qFormat/>
    <w:rsid w:val="001e4899"/>
    <w:pPr>
      <w:widowControl w:val="false"/>
      <w:ind w:firstLine="283"/>
      <w:jc w:val="both"/>
    </w:pPr>
    <w:rPr>
      <w:b/>
      <w:sz w:val="22"/>
      <w:szCs w:val="20"/>
      <w:lang w:val="en-US" w:eastAsia="en-US"/>
    </w:rPr>
  </w:style>
  <w:style w:type="paragraph" w:styleId="BodyTextIndent3">
    <w:name w:val="Body Text Indent 3"/>
    <w:basedOn w:val="Normal"/>
    <w:uiPriority w:val="99"/>
    <w:unhideWhenUsed/>
    <w:qFormat/>
    <w:rsid w:val="004f707b"/>
    <w:pPr>
      <w:spacing w:before="0" w:after="120"/>
      <w:ind w:hanging="0" w:left="283"/>
    </w:pPr>
    <w:rPr>
      <w:sz w:val="16"/>
      <w:szCs w:val="16"/>
    </w:rPr>
  </w:style>
  <w:style w:type="paragraph" w:styleId="TextBoldCenter" w:customStyle="1">
    <w:name w:val="TextBoldCenter"/>
    <w:basedOn w:val="Normal"/>
    <w:qFormat/>
    <w:rsid w:val="004f707b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styleId="22" w:customStyle="1">
    <w:name w:val="Основной текст 22"/>
    <w:basedOn w:val="Normal"/>
    <w:qFormat/>
    <w:rsid w:val="004f707b"/>
    <w:pPr>
      <w:tabs>
        <w:tab w:val="clear" w:pos="408"/>
        <w:tab w:val="left" w:pos="8222" w:leader="none"/>
      </w:tabs>
      <w:ind w:firstLine="709" w:right="84"/>
      <w:jc w:val="both"/>
    </w:pPr>
    <w:rPr>
      <w:sz w:val="26"/>
      <w:szCs w:val="20"/>
    </w:rPr>
  </w:style>
  <w:style w:type="paragraph" w:styleId="NoSpacing">
    <w:name w:val="No Spacing"/>
    <w:uiPriority w:val="99"/>
    <w:qFormat/>
    <w:rsid w:val="00036a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TextBasTxt" w:customStyle="1">
    <w:name w:val="TextBasTxt"/>
    <w:basedOn w:val="Normal"/>
    <w:qFormat/>
    <w:rsid w:val="00b57ab8"/>
    <w:pPr>
      <w:ind w:firstLine="567"/>
      <w:jc w:val="both"/>
    </w:pPr>
    <w:rPr>
      <w:rFonts w:eastAsia="Calibri"/>
    </w:rPr>
  </w:style>
  <w:style w:type="paragraph" w:styleId="ConsPlusNormal1" w:customStyle="1">
    <w:name w:val="ConsPlusNormal"/>
    <w:qFormat/>
    <w:rsid w:val="008f7ff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4"/>
      <w:szCs w:val="20"/>
      <w:lang w:val="ru-RU" w:eastAsia="ru-RU" w:bidi="ar-SA"/>
    </w:rPr>
  </w:style>
  <w:style w:type="paragraph" w:styleId="Title">
    <w:name w:val="Title"/>
    <w:basedOn w:val="Normal"/>
    <w:qFormat/>
    <w:rsid w:val="0084416b"/>
    <w:pPr>
      <w:jc w:val="center"/>
    </w:pPr>
    <w:rPr>
      <w:b/>
      <w:bCs/>
      <w:sz w:val="28"/>
    </w:rPr>
  </w:style>
  <w:style w:type="paragraph" w:styleId="11" w:customStyle="1">
    <w:name w:val="Текст1"/>
    <w:basedOn w:val="Normal"/>
    <w:qFormat/>
    <w:rsid w:val="0084416b"/>
    <w:pPr/>
    <w:rPr>
      <w:rFonts w:ascii="Courier New" w:hAnsi="Courier New"/>
      <w:sz w:val="20"/>
      <w:szCs w:val="20"/>
    </w:rPr>
  </w:style>
  <w:style w:type="paragraph" w:styleId="ConsPlusNonformat" w:customStyle="1">
    <w:name w:val="ConsPlusNonformat"/>
    <w:qFormat/>
    <w:rsid w:val="0084416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446ad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46adb"/>
    <w:pPr/>
    <w:rPr>
      <w:rFonts w:ascii="Tahoma" w:hAnsi="Tahoma" w:cs="Tahoma"/>
      <w:sz w:val="16"/>
      <w:szCs w:val="16"/>
    </w:rPr>
  </w:style>
  <w:style w:type="paragraph" w:styleId="LO-Normal" w:customStyle="1">
    <w:name w:val="LO-Normal"/>
    <w:qFormat/>
    <w:rsid w:val="0062762d"/>
    <w:pPr>
      <w:widowControl w:val="false"/>
      <w:suppressAutoHyphens w:val="true"/>
      <w:bidi w:val="0"/>
      <w:spacing w:lineRule="auto" w:line="300" w:before="0" w:after="0"/>
      <w:ind w:hanging="0" w:left="320"/>
      <w:jc w:val="both"/>
    </w:pPr>
    <w:rPr>
      <w:rFonts w:ascii="Times New Roman" w:hAnsi="Times New Roman" w:eastAsia="Arial" w:cs="Times New Roman"/>
      <w:color w:val="auto"/>
      <w:kern w:val="0"/>
      <w:sz w:val="24"/>
      <w:szCs w:val="20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5b430e"/>
    <w:pPr>
      <w:spacing w:lineRule="auto" w:line="259" w:before="0" w:after="16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2" w:customStyle="1">
    <w:name w:val="Обычный1"/>
    <w:qFormat/>
    <w:rsid w:val="00d14d93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NormalWeb">
    <w:name w:val="Normal (Web)"/>
    <w:basedOn w:val="Normal"/>
    <w:unhideWhenUsed/>
    <w:qFormat/>
    <w:rsid w:val="00ae22b1"/>
    <w:pPr>
      <w:spacing w:beforeAutospacing="1" w:after="119"/>
    </w:pPr>
    <w:rPr/>
  </w:style>
  <w:style w:type="paragraph" w:styleId="Standard" w:customStyle="1">
    <w:name w:val="Standard"/>
    <w:qFormat/>
    <w:rsid w:val="00321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hanging="0" w:right="19772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727e0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new/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s://www.roseltorg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LibreOffice/7.6.0.3$Windows_X86_64 LibreOffice_project/69edd8b8ebc41d00b4de3915dc82f8f0fc3b6265</Application>
  <AppVersion>15.0000</AppVersion>
  <Pages>9</Pages>
  <Words>2749</Words>
  <Characters>19845</Characters>
  <CharactersWithSpaces>22811</CharactersWithSpaces>
  <Paragraphs>156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2022-06-15T07:00:00Z</dcterms:created>
  <dc:creator>SilinaOS</dc:creator>
  <dc:description/>
  <dc:language>ru-RU</dc:language>
  <cp:lastModifiedBy/>
  <cp:lastPrinted>2024-10-11T16:03:55Z</cp:lastPrinted>
  <dcterms:modified xsi:type="dcterms:W3CDTF">2024-12-03T10:06:23Z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