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right"/>
        <w:outlineLvl w:val="0"/>
        <w:rPr>
          <w:b w:val="1"/>
          <w:sz w:val="28"/>
        </w:rPr>
      </w:pPr>
      <w:bookmarkStart w:id="1" w:name="_Hlk198807190"/>
      <w:bookmarkEnd w:id="1"/>
      <w:r>
        <w:rPr>
          <w:sz w:val="28"/>
        </w:rPr>
        <w:t>ПРОЕКТ</w:t>
      </w:r>
    </w:p>
    <w:p w14:paraId="0C000000">
      <w:pPr>
        <w:ind w:hanging="5407" w:left="5549"/>
        <w:jc w:val="right"/>
        <w:rPr>
          <w:sz w:val="28"/>
        </w:rPr>
      </w:pPr>
      <w:r>
        <w:rPr>
          <w:sz w:val="28"/>
        </w:rPr>
        <w:t xml:space="preserve">Вносит </w:t>
      </w:r>
      <w:r>
        <w:rPr>
          <w:sz w:val="28"/>
        </w:rPr>
        <w:t>Губернатор</w:t>
      </w:r>
    </w:p>
    <w:p w14:paraId="0D000000">
      <w:pPr>
        <w:ind w:hanging="5407" w:left="5549"/>
        <w:jc w:val="right"/>
        <w:rPr>
          <w:sz w:val="28"/>
        </w:rPr>
      </w:pPr>
      <w:r>
        <w:rPr>
          <w:sz w:val="28"/>
        </w:rPr>
        <w:t>Ивановской области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996696" cy="73761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996696" cy="73761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ЗАКОН ИВАНОВСКОЙ ОБЛАСТИ</w:t>
      </w:r>
    </w:p>
    <w:p w14:paraId="11000000">
      <w:pPr>
        <w:pStyle w:val="Style_2"/>
        <w:ind w:firstLine="0" w:left="0"/>
      </w:pPr>
    </w:p>
    <w:tbl>
      <w:tblPr>
        <w:tblStyle w:val="Style_3"/>
        <w:tblLayout w:type="fixed"/>
      </w:tblPr>
      <w:tblGrid>
        <w:gridCol w:w="10205"/>
      </w:tblGrid>
      <w:tr>
        <w:tc>
          <w:tcPr>
            <w:tcW w:type="dxa" w:w="10205"/>
          </w:tcPr>
          <w:p w14:paraId="12000000">
            <w:pPr>
              <w:tabs>
                <w:tab w:leader="none" w:pos="1212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  <w:sz w:val="28"/>
              </w:rPr>
              <w:t>О внесении изменений в статью 1 Закона Ивановской области</w:t>
            </w:r>
          </w:p>
          <w:p w14:paraId="13000000">
            <w:pPr>
              <w:tabs>
                <w:tab w:leader="none" w:pos="1212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  <w:sz w:val="28"/>
              </w:rPr>
              <w:t xml:space="preserve">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</w:t>
            </w:r>
            <w:r>
              <w:rPr>
                <w:b w:val="1"/>
                <w:sz w:val="28"/>
              </w:rPr>
              <w:t>в собственности Ивановс</w:t>
            </w:r>
            <w:r>
              <w:rPr>
                <w:b w:val="1"/>
                <w:sz w:val="28"/>
              </w:rPr>
              <w:t>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</w:t>
            </w:r>
          </w:p>
          <w:p w14:paraId="14000000">
            <w:pPr>
              <w:tabs>
                <w:tab w:leader="none" w:pos="1212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  <w:sz w:val="28"/>
              </w:rPr>
              <w:t>без проведения торгов»</w:t>
            </w:r>
          </w:p>
        </w:tc>
      </w:tr>
    </w:tbl>
    <w:p w14:paraId="15000000">
      <w:pPr>
        <w:ind/>
        <w:jc w:val="both"/>
        <w:rPr>
          <w:sz w:val="28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Принят</w:t>
      </w:r>
      <w:r>
        <w:rPr>
          <w:sz w:val="28"/>
        </w:rPr>
        <w:t xml:space="preserve"> Ивановской областной Думой</w:t>
      </w:r>
    </w:p>
    <w:p w14:paraId="17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10205"/>
      </w:tblGrid>
      <w:tr>
        <w:trPr>
          <w:trHeight w:hRule="atLeast" w:val="345"/>
        </w:trPr>
        <w:tc>
          <w:tcPr>
            <w:tcW w:type="dxa" w:w="10205"/>
          </w:tcPr>
          <w:p w14:paraId="18000000">
            <w:pPr>
              <w:ind w:firstLine="709" w:left="0"/>
              <w:jc w:val="both"/>
              <w:outlineLvl w:val="0"/>
              <w:rPr>
                <w:b w:val="1"/>
                <w:sz w:val="28"/>
              </w:rPr>
            </w:pPr>
            <w:r>
              <w:rPr>
                <w:sz w:val="28"/>
              </w:rPr>
              <w:t>Настоящий Закон принят в соответствии с п</w:t>
            </w:r>
            <w:r>
              <w:rPr>
                <w:sz w:val="28"/>
              </w:rPr>
              <w:t>одпунктом 3 пункта 2 статьи 39.6 Земельного кодекса Российской Федерации в целях реализации на территории Ивановской области масштабных инвестиционных проектов в социально-культурной сфере.</w:t>
            </w:r>
          </w:p>
          <w:p w14:paraId="19000000">
            <w:pPr>
              <w:ind w:firstLine="709" w:left="0"/>
              <w:jc w:val="both"/>
              <w:rPr>
                <w:sz w:val="28"/>
              </w:rPr>
            </w:pPr>
          </w:p>
          <w:p w14:paraId="1A000000">
            <w:pPr>
              <w:ind w:firstLine="709" w:left="0"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Статья 1.</w:t>
            </w:r>
          </w:p>
          <w:p w14:paraId="1B000000">
            <w:pPr>
              <w:ind w:firstLine="709" w:left="0"/>
              <w:jc w:val="both"/>
              <w:rPr>
                <w:sz w:val="28"/>
              </w:rPr>
            </w:pPr>
          </w:p>
          <w:p w14:paraId="1C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Внести в статью 1 Закона Ивановской области от 06.05.2</w:t>
            </w:r>
            <w:r>
              <w:rPr>
                <w:sz w:val="28"/>
              </w:rPr>
              <w:t xml:space="preserve">016 </w:t>
            </w:r>
            <w:r>
              <w:rPr/>
              <w:br/>
            </w:r>
            <w:r>
              <w:rPr>
                <w:sz w:val="28"/>
              </w:rPr>
              <w:t>№ 20-ОЗ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</w:t>
            </w:r>
            <w:r>
              <w:rPr>
                <w:sz w:val="28"/>
              </w:rPr>
              <w:t xml:space="preserve">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 </w:t>
            </w:r>
            <w:r>
              <w:rPr/>
              <w:br/>
            </w:r>
            <w:r>
              <w:rPr>
                <w:sz w:val="28"/>
              </w:rPr>
              <w:t>(в действующей редакции) следующие изменения:</w:t>
            </w:r>
          </w:p>
          <w:p w14:paraId="1D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абзаце первом пункта 1 части 1 слово </w:t>
            </w:r>
            <w:r>
              <w:rPr>
                <w:sz w:val="28"/>
              </w:rPr>
              <w:t>«данном»</w:t>
            </w:r>
            <w:r>
              <w:rPr>
                <w:sz w:val="28"/>
              </w:rPr>
              <w:t xml:space="preserve"> исключить;</w:t>
            </w:r>
          </w:p>
          <w:p w14:paraId="1E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абзац пятый пункта 2</w:t>
            </w:r>
            <w:r>
              <w:rPr>
                <w:sz w:val="28"/>
              </w:rPr>
              <w:t xml:space="preserve"> части 1 изложить в следующей редакции:</w:t>
            </w:r>
          </w:p>
          <w:p w14:paraId="1F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«300 </w:t>
            </w:r>
            <w:r>
              <w:rPr>
                <w:sz w:val="28"/>
              </w:rPr>
              <w:t>млн</w:t>
            </w:r>
            <w:r>
              <w:rPr>
                <w:sz w:val="28"/>
              </w:rPr>
              <w:t xml:space="preserve"> руб. для масштабного инвестиционного проекта в социально-культурной сфере</w:t>
            </w:r>
            <w:r>
              <w:rPr>
                <w:sz w:val="28"/>
              </w:rPr>
              <w:t>, реализуемого на территории города Иваново или 500 млн руб. для масштабного инвестиционного проекта в иных сферах, реализуемого на территории города Иваново;»;</w:t>
            </w:r>
          </w:p>
          <w:p w14:paraId="20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пункт 3 части 1 после слова «строительство» дополнить </w:t>
            </w:r>
            <w:r>
              <w:rPr>
                <w:sz w:val="28"/>
              </w:rPr>
              <w:t xml:space="preserve">словами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или реконструкции</w:t>
            </w:r>
            <w:r>
              <w:rPr>
                <w:sz w:val="28"/>
              </w:rPr>
              <w:t>»;</w:t>
            </w:r>
          </w:p>
          <w:p w14:paraId="21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дополнить частью 4 следующего содержания:</w:t>
            </w:r>
          </w:p>
          <w:p w14:paraId="22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«4. </w:t>
            </w:r>
            <w:r>
              <w:rPr>
                <w:sz w:val="28"/>
              </w:rPr>
              <w:t xml:space="preserve">В случае реализации масштабного </w:t>
            </w:r>
            <w:r>
              <w:rPr>
                <w:sz w:val="28"/>
              </w:rPr>
              <w:t xml:space="preserve">инвестиционного проекта в социально-культурной сфере, </w:t>
            </w:r>
            <w:r>
              <w:rPr>
                <w:sz w:val="28"/>
              </w:rPr>
              <w:t xml:space="preserve">предоставление земельного участка в аренду без проведения торгов допускается при соответствии реализуемого на данном земельном участке масштабного инвестиционного проекта </w:t>
            </w:r>
            <w:r>
              <w:rPr>
                <w:rStyle w:val="Style_4_ch"/>
                <w:sz w:val="28"/>
              </w:rPr>
              <w:t>о</w:t>
            </w:r>
            <w:r>
              <w:rPr>
                <w:sz w:val="28"/>
              </w:rPr>
              <w:t>дновременн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критериям, указанным в части 1 настоящей статьи, и предусматривающего строительство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 xml:space="preserve"> реконструкцию объекта социально культурного назначения, </w:t>
            </w:r>
            <w:r>
              <w:rPr>
                <w:sz w:val="28"/>
              </w:rPr>
              <w:t>с увеличением его объемов для достижения нормируемых параметров технического и градостроительного регламентов.</w:t>
            </w:r>
          </w:p>
          <w:p w14:paraId="23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Объём инвестиций при реализации масштабного инвестиционного проекта в социально-культурной сфере на нескольких, в том числе смежных земельных участках, в случае реконструкции объекта социально культурного назначения, рассчитывается в отношении всех земельных участков, участвующих в реализации масштабного инвестиционного проекта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».</w:t>
            </w:r>
            <w:bookmarkStart w:id="2" w:name="_GoBack"/>
            <w:bookmarkEnd w:id="2"/>
          </w:p>
          <w:p w14:paraId="24000000">
            <w:pPr>
              <w:ind w:firstLine="709" w:left="0"/>
              <w:jc w:val="both"/>
              <w:rPr>
                <w:sz w:val="28"/>
              </w:rPr>
            </w:pPr>
          </w:p>
          <w:p w14:paraId="25000000">
            <w:pPr>
              <w:ind w:firstLine="709" w:left="0"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Статья 2.</w:t>
            </w:r>
          </w:p>
          <w:p w14:paraId="26000000">
            <w:pPr>
              <w:ind w:firstLine="709" w:left="0"/>
              <w:jc w:val="both"/>
              <w:rPr>
                <w:sz w:val="28"/>
              </w:rPr>
            </w:pPr>
          </w:p>
          <w:p w14:paraId="27000000">
            <w:pPr>
              <w:pStyle w:val="Style_2"/>
              <w:ind w:firstLine="709" w:left="0"/>
              <w:rPr/>
            </w:pPr>
            <w:r>
              <w:rPr/>
              <w:t>Настоящий Закон вступает в силу по истечении 10 дней после дня его официального опубликования.</w:t>
            </w:r>
          </w:p>
        </w:tc>
      </w:tr>
    </w:tbl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4512"/>
        <w:gridCol w:w="5693"/>
      </w:tblGrid>
      <w:tr>
        <w:tc>
          <w:tcPr>
            <w:tcW w:type="dxa" w:w="4512"/>
          </w:tcPr>
          <w:p w14:paraId="2B000000">
            <w:pPr>
              <w:pStyle w:val="Style_2"/>
              <w:ind w:firstLine="0" w:left="0" w:right="-156"/>
              <w:jc w:val="left"/>
            </w:pPr>
            <w:r>
              <w:t>Губернатор</w:t>
            </w:r>
          </w:p>
          <w:p w14:paraId="2C000000">
            <w:pPr>
              <w:pStyle w:val="Style_2"/>
              <w:ind w:firstLine="0" w:left="0" w:right="-156"/>
              <w:jc w:val="left"/>
            </w:pPr>
            <w:r>
              <w:t>Ивановской области</w:t>
            </w:r>
          </w:p>
        </w:tc>
        <w:tc>
          <w:tcPr>
            <w:tcW w:type="dxa" w:w="5693"/>
          </w:tcPr>
          <w:p w14:paraId="2D000000">
            <w:pPr>
              <w:pStyle w:val="Style_2"/>
              <w:ind w:firstLine="0" w:left="0"/>
              <w:jc w:val="right"/>
            </w:pPr>
          </w:p>
          <w:p w14:paraId="2E000000">
            <w:pPr>
              <w:pStyle w:val="Style_2"/>
              <w:ind w:firstLine="0" w:left="0"/>
              <w:jc w:val="right"/>
            </w:pPr>
            <w:r>
              <w:t>С.С. Воскресенский</w:t>
            </w:r>
          </w:p>
        </w:tc>
      </w:tr>
    </w:tbl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pPr>
        <w:rPr>
          <w:sz w:val="28"/>
        </w:rPr>
      </w:pPr>
    </w:p>
    <w:p w14:paraId="32000000">
      <w:pPr>
        <w:rPr>
          <w:sz w:val="28"/>
        </w:rPr>
      </w:pPr>
      <w:r>
        <w:rPr>
          <w:sz w:val="28"/>
        </w:rPr>
        <w:t>г. Иваново</w:t>
      </w:r>
    </w:p>
    <w:p w14:paraId="33000000">
      <w:pPr>
        <w:rPr>
          <w:sz w:val="28"/>
        </w:rPr>
      </w:pPr>
      <w:r>
        <w:rPr>
          <w:sz w:val="28"/>
        </w:rPr>
        <w:t>_______________ 2025 г.</w:t>
      </w:r>
    </w:p>
    <w:p w14:paraId="34000000">
      <w:pPr>
        <w:rPr>
          <w:sz w:val="28"/>
        </w:rPr>
      </w:pPr>
    </w:p>
    <w:p w14:paraId="35000000">
      <w:pPr>
        <w:ind/>
        <w:jc w:val="both"/>
        <w:rPr>
          <w:sz w:val="28"/>
        </w:rPr>
      </w:pPr>
      <w:r>
        <w:rPr>
          <w:sz w:val="28"/>
        </w:rPr>
        <w:t>№ ______-ОЗ</w:t>
      </w:r>
    </w:p>
    <w:p w14:paraId="36000000">
      <w:pPr>
        <w:pStyle w:val="Style_5"/>
        <w:widowControl w:val="1"/>
        <w:ind/>
        <w:rPr>
          <w:b w:val="0"/>
          <w:sz w:val="28"/>
        </w:rPr>
      </w:pPr>
    </w:p>
    <w:p w14:paraId="37000000">
      <w:pPr>
        <w:sectPr>
          <w:headerReference r:id="rId2" w:type="default"/>
          <w:pgSz w:h="16838" w:orient="portrait" w:w="11906"/>
          <w:pgMar w:bottom="993" w:footer="0" w:gutter="0" w:header="709" w:left="1134" w:right="567" w:top="1134"/>
          <w:pgNumType w:start="1"/>
          <w:titlePg/>
        </w:sectPr>
      </w:pPr>
    </w:p>
    <w:sectPr>
      <w:headerReference r:id="rId4" w:type="default"/>
      <w:pgSz w:h="16838" w:orient="portrait" w:w="11906"/>
      <w:pgMar w:bottom="1134" w:footer="709" w:gutter="0" w:header="709" w:left="1559" w:right="1276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</w:p>
  <w:p w14:paraId="0A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Plain Text"/>
    <w:basedOn w:val="Style_4"/>
    <w:link w:val="Style_11_ch"/>
    <w:rPr>
      <w:rFonts w:ascii="Courier New" w:hAnsi="Courier New"/>
      <w:sz w:val="20"/>
    </w:rPr>
  </w:style>
  <w:style w:styleId="Style_11_ch" w:type="character">
    <w:name w:val="Plain Text"/>
    <w:basedOn w:val="Style_4_ch"/>
    <w:link w:val="Style_11"/>
    <w:rPr>
      <w:rFonts w:ascii="Courier New" w:hAnsi="Courier New"/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Содержимое таблицы"/>
    <w:basedOn w:val="Style_4"/>
    <w:link w:val="Style_17_ch"/>
    <w:pPr>
      <w:widowControl w:val="0"/>
      <w:ind/>
    </w:pPr>
  </w:style>
  <w:style w:styleId="Style_17_ch" w:type="character">
    <w:name w:val="Содержимое таблицы"/>
    <w:basedOn w:val="Style_4_ch"/>
    <w:link w:val="Style_17"/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ind w:firstLine="720" w:left="0"/>
      <w:jc w:val="both"/>
    </w:pPr>
    <w:rPr>
      <w:sz w:val="28"/>
    </w:rPr>
  </w:style>
  <w:style w:styleId="Style_2_ch" w:type="character">
    <w:name w:val="Body Text Indent"/>
    <w:basedOn w:val="Style_4_ch"/>
    <w:link w:val="Style_2"/>
    <w:rPr>
      <w:sz w:val="28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31" w:type="paragraph">
    <w:name w:val="ConsPlusNormal"/>
    <w:link w:val="Style_31_ch"/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Con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Normal"/>
    <w:link w:val="Style_32"/>
    <w:rPr>
      <w:rFonts w:ascii="Arial" w:hAnsi="Arial"/>
    </w:rPr>
  </w:style>
  <w:style w:styleId="Style_33" w:type="paragraph">
    <w:name w:val="toc 9"/>
    <w:next w:val="Style_4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Body Text"/>
    <w:basedOn w:val="Style_4"/>
    <w:link w:val="Style_34_ch"/>
    <w:rPr>
      <w:sz w:val="44"/>
    </w:rPr>
  </w:style>
  <w:style w:styleId="Style_34_ch" w:type="character">
    <w:name w:val="Body Text"/>
    <w:basedOn w:val="Style_4_ch"/>
    <w:link w:val="Style_34"/>
    <w:rPr>
      <w:sz w:val="44"/>
    </w:rPr>
  </w:style>
  <w:style w:styleId="Style_35" w:type="paragraph">
    <w:name w:val="toc 8"/>
    <w:next w:val="Style_4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footer"/>
    <w:basedOn w:val="Style_4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4_ch"/>
    <w:link w:val="Style_36"/>
  </w:style>
  <w:style w:styleId="Style_37" w:type="paragraph">
    <w:name w:val="toc 5"/>
    <w:next w:val="Style_4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4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4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4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pn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2025-06-17T08:43:58Z</dcterms:modified>
</cp:coreProperties>
</file>