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-285" w:firstLine="426"/>
        <w:jc w:val="center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 xml:space="preserve">Печатается на бланке Росмолодежи</w:t>
      </w:r>
      <w:r>
        <w:rPr>
          <w:b/>
          <w:color w:val="ffffff" w:themeColor="background1"/>
          <w:sz w:val="28"/>
          <w:szCs w:val="28"/>
        </w:rPr>
      </w:r>
      <w:r>
        <w:rPr>
          <w:b/>
          <w:color w:val="ffffff" w:themeColor="background1"/>
          <w:sz w:val="28"/>
          <w:szCs w:val="28"/>
        </w:rPr>
      </w:r>
    </w:p>
    <w:p>
      <w:pPr>
        <w:pBdr/>
        <w:spacing/>
        <w:ind w:right="-285" w:firstLine="426"/>
        <w:jc w:val="center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</w:r>
      <w:r>
        <w:rPr>
          <w:b/>
          <w:color w:val="ffffff" w:themeColor="background1"/>
          <w:sz w:val="28"/>
          <w:szCs w:val="28"/>
        </w:rPr>
      </w:r>
      <w:r>
        <w:rPr>
          <w:b/>
          <w:color w:val="ffffff" w:themeColor="background1"/>
          <w:sz w:val="28"/>
          <w:szCs w:val="28"/>
        </w:rPr>
      </w:r>
    </w:p>
    <w:p>
      <w:pPr>
        <w:pBdr/>
        <w:spacing/>
        <w:ind w:right="-285" w:firstLine="426"/>
        <w:jc w:val="center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</w:r>
      <w:r>
        <w:rPr>
          <w:b/>
          <w:color w:val="ffffff" w:themeColor="background1"/>
          <w:sz w:val="28"/>
          <w:szCs w:val="28"/>
        </w:rPr>
      </w:r>
      <w:r>
        <w:rPr>
          <w:b/>
          <w:color w:val="ffffff" w:themeColor="background1"/>
          <w:sz w:val="28"/>
          <w:szCs w:val="28"/>
        </w:rPr>
      </w:r>
    </w:p>
    <w:p>
      <w:pPr>
        <w:pBdr/>
        <w:spacing/>
        <w:ind w:right="-285" w:firstLine="426"/>
        <w:jc w:val="center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</w:r>
      <w:r>
        <w:rPr>
          <w:b/>
          <w:color w:val="ffffff" w:themeColor="background1"/>
          <w:sz w:val="28"/>
          <w:szCs w:val="28"/>
        </w:rPr>
      </w:r>
      <w:r>
        <w:rPr>
          <w:b/>
          <w:color w:val="ffffff" w:themeColor="background1"/>
          <w:sz w:val="28"/>
          <w:szCs w:val="28"/>
        </w:rPr>
      </w:r>
    </w:p>
    <w:p>
      <w:pPr>
        <w:pBdr/>
        <w:spacing/>
        <w:ind w:right="-285" w:firstLine="426"/>
        <w:jc w:val="center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</w:r>
      <w:r>
        <w:rPr>
          <w:b/>
          <w:color w:val="ffffff" w:themeColor="background1"/>
          <w:sz w:val="28"/>
          <w:szCs w:val="28"/>
        </w:rPr>
      </w:r>
      <w:r>
        <w:rPr>
          <w:b/>
          <w:color w:val="ffffff" w:themeColor="background1"/>
          <w:sz w:val="28"/>
          <w:szCs w:val="28"/>
        </w:rPr>
      </w:r>
    </w:p>
    <w:p>
      <w:pPr>
        <w:pBdr/>
        <w:spacing/>
        <w:ind w:right="-285" w:firstLine="426"/>
        <w:jc w:val="center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</w:r>
      <w:r>
        <w:rPr>
          <w:b/>
          <w:color w:val="ffffff" w:themeColor="background1"/>
          <w:sz w:val="28"/>
          <w:szCs w:val="28"/>
        </w:rPr>
      </w:r>
      <w:r>
        <w:rPr>
          <w:b/>
          <w:color w:val="ffffff" w:themeColor="background1"/>
          <w:sz w:val="28"/>
          <w:szCs w:val="28"/>
        </w:rPr>
      </w:r>
    </w:p>
    <w:p>
      <w:pPr>
        <w:pBdr/>
        <w:spacing/>
        <w:ind w:right="-144" w:firstLine="426"/>
        <w:jc w:val="center"/>
        <w:rPr>
          <w:b/>
          <w:color w:val="ffffff" w:themeColor="background1"/>
          <w:sz w:val="28"/>
          <w:szCs w:val="28"/>
          <w:shd w:val="clear" w:color="auto" w:fill="ffffff"/>
        </w:rPr>
      </w:pPr>
      <w:r>
        <w:rPr>
          <w:b/>
          <w:color w:val="ffffff" w:themeColor="background1"/>
          <w:sz w:val="28"/>
          <w:szCs w:val="28"/>
          <w:shd w:val="clear" w:color="auto" w:fill="ffffff"/>
        </w:rPr>
      </w:r>
      <w:r>
        <w:rPr>
          <w:b/>
          <w:color w:val="ffffff" w:themeColor="background1"/>
          <w:sz w:val="28"/>
          <w:szCs w:val="28"/>
          <w:shd w:val="clear" w:color="auto" w:fill="ffffff"/>
        </w:rPr>
      </w:r>
      <w:r>
        <w:rPr>
          <w:b/>
          <w:color w:val="ffffff" w:themeColor="background1"/>
          <w:sz w:val="28"/>
          <w:szCs w:val="28"/>
          <w:shd w:val="clear" w:color="auto" w:fill="ffffff"/>
        </w:rPr>
      </w:r>
    </w:p>
    <w:p>
      <w:pPr>
        <w:pBdr/>
        <w:spacing/>
        <w:ind w:right="-144" w:firstLine="426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</w:p>
    <w:p>
      <w:pPr>
        <w:pBdr/>
        <w:spacing/>
        <w:ind w:right="-144" w:firstLine="426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</w:p>
    <w:p>
      <w:pPr>
        <w:pBdr/>
        <w:spacing/>
        <w:ind w:right="-144"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 w:right="-144" w:firstLine="426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</w:r>
      <w:r>
        <w:rPr>
          <w:b/>
          <w:bCs/>
          <w:sz w:val="28"/>
          <w:szCs w:val="28"/>
          <w:shd w:val="clear" w:color="auto" w:fill="ffffff"/>
        </w:rPr>
      </w:r>
      <w:r>
        <w:rPr>
          <w:b/>
          <w:bCs/>
          <w:sz w:val="28"/>
          <w:szCs w:val="28"/>
          <w:shd w:val="clear" w:color="auto" w:fill="ffffff"/>
        </w:rPr>
      </w:r>
    </w:p>
    <w:p>
      <w:pPr>
        <w:pBdr/>
        <w:spacing/>
        <w:ind w:right="-144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</w:p>
    <w:p>
      <w:pPr>
        <w:pBdr/>
        <w:spacing w:line="240" w:lineRule="auto"/>
        <w:ind w:right="-144"/>
        <w:jc w:val="center"/>
        <w:rPr/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Об утверждении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рекомендаций по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размещению государственных </w:t>
        <w:br/>
        <w:t xml:space="preserve">и муниципальных учреждений,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осуществляющих деятельность по реализации молодежной политики,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иных объектов инфраструктуры молодежной политики, </w:t>
      </w:r>
      <w:r>
        <w:rPr>
          <w:rFonts w:ascii="Times New Roman" w:hAnsi="Times New Roman" w:eastAsia="Times New Roman"/>
          <w:b/>
          <w:color w:val="000000" w:themeColor="text1"/>
          <w:sz w:val="28"/>
        </w:rPr>
      </w:r>
      <w:r/>
    </w:p>
    <w:p>
      <w:pPr>
        <w:pBdr/>
        <w:spacing w:line="240" w:lineRule="auto"/>
        <w:ind w:right="-144"/>
        <w:jc w:val="center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исходя из потребностей молодежи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</w:p>
    <w:p>
      <w:pPr>
        <w:pBdr/>
        <w:spacing w:line="300" w:lineRule="auto"/>
        <w:ind w:right="-6" w:firstLine="709"/>
        <w:rPr>
          <w:rFonts w:ascii="Times New Roman" w:hAnsi="Times New Roman" w:eastAsia="Times New Roman"/>
          <w:b/>
          <w:color w:val="000000" w:themeColor="text1"/>
          <w:sz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</w:rPr>
      </w:r>
    </w:p>
    <w:p>
      <w:pPr>
        <w:pBdr/>
        <w:spacing/>
        <w:ind w:right="-6" w:firstLine="709"/>
        <w:jc w:val="both"/>
        <w:rPr/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В соответствии с пунктом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3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статьи 8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Ф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едерального закона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br/>
        <w:t xml:space="preserve">от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30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декабря 20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20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г. №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489</w:t>
      </w:r>
      <w:r>
        <w:rPr>
          <w:rFonts w:ascii="Times New Roman" w:hAnsi="Times New Roman" w:eastAsia="Times New Roman"/>
          <w:color w:val="000000" w:themeColor="text1"/>
          <w:sz w:val="28"/>
          <w:lang w:val="en-US"/>
        </w:rPr>
        <w:t xml:space="preserve">-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ФЗ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«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О молодежной политике </w:t>
        <w:br/>
        <w:t xml:space="preserve">в Российской Федерации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»,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подпунктом 5.15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  <w:vertAlign w:val="superscript"/>
        </w:rPr>
        <w:t xml:space="preserve">14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  <w:vertAlign w:val="baseline"/>
        </w:rPr>
        <w:t xml:space="preserve"> пункта 5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 Положения о Федеральном агентстве по делам молодежи, утвержденного </w:t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постановлением Правительства </w:t>
        <w:br/>
        <w:t xml:space="preserve">Российской Федерации от 29 мая 2008 г. № 409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, 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в целях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создани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я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единых </w:t>
        <w:br/>
        <w:t xml:space="preserve">подходов по размещению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государственных и муниципальных учреждений, осуществляющих деятельность по реализации молодежной политики,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иных объектов инфраструктуры молодежной политики,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исходя из потребностей молодежи,</w:t>
      </w:r>
      <w:r>
        <w:rPr>
          <w:rFonts w:ascii="Times New Roman" w:hAnsi="Times New Roman" w:eastAsia="Times New Roman"/>
          <w:bCs/>
          <w:color w:val="000000" w:themeColor="text1"/>
          <w:sz w:val="28"/>
        </w:rPr>
        <w:t xml:space="preserve"> п</w:t>
      </w:r>
      <w:r>
        <w:rPr>
          <w:rFonts w:ascii="Times New Roman" w:hAnsi="Times New Roman" w:eastAsia="Times New Roman"/>
          <w:bCs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bCs/>
          <w:color w:val="000000" w:themeColor="text1"/>
          <w:sz w:val="28"/>
        </w:rPr>
        <w:t xml:space="preserve">р</w:t>
      </w:r>
      <w:r>
        <w:rPr>
          <w:rFonts w:ascii="Times New Roman" w:hAnsi="Times New Roman" w:eastAsia="Times New Roman"/>
          <w:bCs/>
          <w:color w:val="000000" w:themeColor="text1"/>
          <w:sz w:val="28"/>
        </w:rPr>
        <w:t xml:space="preserve"> и к а з ы в а ю:</w:t>
      </w:r>
      <w:r>
        <w:rPr>
          <w:rFonts w:ascii="Times New Roman" w:hAnsi="Times New Roman" w:eastAsia="Times New Roman"/>
          <w:color w:val="000000" w:themeColor="text1"/>
          <w:sz w:val="28"/>
        </w:rPr>
      </w:r>
      <w:r/>
    </w:p>
    <w:p>
      <w:pPr>
        <w:pBdr/>
        <w:spacing/>
        <w:ind w:right="-6" w:firstLine="709"/>
        <w:jc w:val="both"/>
        <w:rPr/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1. Утвердить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прилагаемые рекомендации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по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размещению государственных </w:t>
        <w:br/>
        <w:t xml:space="preserve">и муниципальных учреждений,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осуществляющих деятельность по реализации молодежной политики,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иных объектов инфраструктуры молодежной политики,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исходя из потребностей молодежи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8"/>
        </w:rPr>
      </w:r>
      <w:r/>
    </w:p>
    <w:p>
      <w:pPr>
        <w:pBdr/>
        <w:spacing/>
        <w:ind w:right="-6"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  <w:t xml:space="preserve">2. Контроль за исполнением настоящего приказа оставляю за собой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6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6"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6"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Р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уководител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ь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                     </w:t>
      </w:r>
      <w:r>
        <w:rPr>
          <w:rFonts w:ascii="Times New Roman" w:hAnsi="Times New Roman" w:eastAsia="Times New Roman"/>
          <w:color w:val="000000" w:themeColor="text1"/>
          <w:sz w:val="28"/>
        </w:rPr>
        <w:tab/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           Г.А.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Гуров</w:t>
      </w:r>
      <w:r>
        <w:rPr>
          <w:rFonts w:ascii="Times New Roman" w:hAnsi="Times New Roman" w:eastAsia="Times New Roman"/>
          <w:color w:val="000000" w:themeColor="text1"/>
          <w:sz w:val="28"/>
        </w:rPr>
      </w:r>
      <w:r>
        <w:rPr>
          <w:rFonts w:ascii="Times New Roman" w:hAnsi="Times New Roman" w:eastAsia="Times New Roman"/>
          <w:color w:val="000000" w:themeColor="text1"/>
          <w:sz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1984" w:left="3402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УТВЕРЖДЕНЫ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1984"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Федерального агентства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1984"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делам молод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«___» _________ 2025 г. № 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по размещению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 муниципальных учреждений, осуществляющих деятельность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реализации молодежной политики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, иных объектов инфраструктуры молодежной политики, исходя из потребностей молодежи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1. Настоящие рекомендации разработаны в целях формирования  общих п</w:t>
      </w:r>
      <w:r>
        <w:rPr>
          <w:rFonts w:ascii="Times New Roman" w:hAnsi="Times New Roman" w:cs="Times New Roman"/>
          <w:sz w:val="28"/>
          <w:szCs w:val="28"/>
        </w:rPr>
        <w:t xml:space="preserve">одходов и методов реализации молодежной политики в субъектах </w:t>
        <w:br/>
        <w:t xml:space="preserve">Российской Федерации в части </w:t>
      </w:r>
      <w:r>
        <w:rPr>
          <w:rFonts w:ascii="Times New Roman" w:hAnsi="Times New Roman" w:cs="Times New Roman"/>
          <w:sz w:val="28"/>
          <w:szCs w:val="28"/>
        </w:rPr>
        <w:t xml:space="preserve">размещения государственных и муниципальных учреждений, осуществляющих деятельность по реализации молодежной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(далее – учреждения молодежной политики)</w:t>
      </w:r>
      <w:r>
        <w:rPr>
          <w:rFonts w:ascii="Times New Roman" w:hAnsi="Times New Roman" w:cs="Times New Roman"/>
          <w:sz w:val="28"/>
          <w:szCs w:val="28"/>
        </w:rPr>
        <w:t xml:space="preserve">, иных объектов инфраструктуры молодежной политики, исходя из потребностей молодежи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/>
      <w:r/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Содержание настоящих рекомендаций определяется необходимостью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равных условий для духовного, культурного, интеллектуального, психического, профессионального, социального и физического развития </w:t>
        <w:br/>
        <w:t xml:space="preserve">и самореализации молодежи</w:t>
      </w:r>
      <w:r>
        <w:rPr>
          <w:rFonts w:ascii="Times New Roman" w:hAnsi="Times New Roman" w:cs="Times New Roman"/>
          <w:sz w:val="28"/>
          <w:szCs w:val="28"/>
        </w:rPr>
        <w:t xml:space="preserve">, закрепленных как одна из целей молодежной политики в соответствии с пунктом 2 статьи 4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30 декабря 2020 г. № 489-ФЗ «О молодежной политике в Российской Федерации».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 Настоящими рекомендациями в том числе определяется возможный уровень обеспечения 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нспортной доступности учреждений 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лодежной политики, иных объектов инфраструктуры молодежной политики, исходя </w:t>
        <w:br/>
        <w:t xml:space="preserve">из потребностей молодежи, с целью обеспечения возможностей самореализации молодежи в муниципальных образованиях субъектов Российской Федерации согласно приложению к рекомендациям.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разработке нормативных актов субъектов Российской Федерации </w:t>
        <w:br/>
        <w:t xml:space="preserve">по вопросам обеспеченности инфраструктурой молодежной политики в субъекте Российской Федерации возможно определение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иных подходов по размещению учреждений молодежной политики и иных объектов инфраструктуры молодежной политики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 учетом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социально-экономических условий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культурных, географических и иных особенностей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субъекта Российской Федерации.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В целях обеспечения равного доступа молодежи к объектам инфраструктуры молодежной политики в </w:t>
      </w:r>
      <w:r>
        <w:rPr>
          <w:rFonts w:ascii="Times New Roman" w:hAnsi="Times New Roman" w:cs="Times New Roman"/>
          <w:sz w:val="28"/>
          <w:szCs w:val="28"/>
        </w:rPr>
        <w:t xml:space="preserve">городских и сельских населенных пунктах, не являющихся муниципальным образованием субъекта </w:t>
        <w:br/>
        <w:t xml:space="preserve">Российской Федерации, с населением свыше 5 тыс. чел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овек возможно создание молодежных пространств как помещений или комплекса помещений,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расположенных в государственных и муниципальных учреждениях культуры, спорта, туризма и иных сфер, образовательных организациях, в коммерческих организациях и предприятиях, некоммерческих организац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иях, которые на праве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аренды, безвозмездного пользования или иного вещного права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переданы учреждению молодежной политики или органу исполнительной власти субъекта Российской Федерации, структурному подразделению органа местного самоуправления,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осуществляющих деятельность по реализации молодежной политики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для реализации направлен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ий молодежной политики в данных пространствах и имеющих свободный доступ.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Приложени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е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к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Рекомендациям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по размещению государственных </w:t>
        <w:br/>
        <w:t xml:space="preserve">и муниципальных учреждений, осуществляющих </w:t>
        <w:br/>
        <w:t xml:space="preserve">деятельность по реализации молодежной политики,</w:t>
        <w:br/>
        <w:t xml:space="preserve"> иных объектов инфраструктуры молодежной политики, </w:t>
        <w:br/>
        <w:t xml:space="preserve">исходя из потребностей молодежи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0"/>
          <w:szCs w:val="20"/>
          <w14:ligatures w14:val="non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  <w14:ligatures w14:val="none"/>
        </w:rPr>
      </w:r>
      <w:r>
        <w:rPr>
          <w:rFonts w:ascii="Times New Roman" w:hAnsi="Times New Roman" w:cs="Times New Roman"/>
          <w:b/>
          <w:bCs/>
          <w:sz w:val="20"/>
          <w:szCs w:val="20"/>
          <w14:ligatures w14:val="none"/>
        </w:rPr>
      </w:r>
    </w:p>
    <w:tbl>
      <w:tblPr>
        <w:tblInd w:w="-810" w:type="dxa"/>
        <w:tblW w:w="0" w:type="auto"/>
        <w:tblBorders/>
        <w:tblLayout w:type="fixed"/>
        <w:tblLook w:val="04A0" w:firstRow="1" w:lastRow="0" w:firstColumn="1" w:lastColumn="0" w:noHBand="0" w:noVBand="1"/>
        <w:tblStyle w:val="983"/>
      </w:tblPr>
      <w:tblGrid>
        <w:gridCol w:w="1667"/>
        <w:gridCol w:w="2216"/>
        <w:gridCol w:w="1469"/>
        <w:gridCol w:w="2659"/>
        <w:gridCol w:w="2126"/>
      </w:tblGrid>
      <w:tr>
        <w:trPr/>
        <w:tc>
          <w:tcPr>
            <w:tcBorders/>
            <w:tcW w:w="16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Административно-территориальный уровень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Borders/>
            <w:tcW w:w="221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Категория учреждения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Borders/>
            <w:tcW w:w="14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Население 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(тысяч человек на населенный пункт)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Borders/>
            <w:tcW w:w="265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(норматив обеспеченности на число молодых людей, населения)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Доступность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16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Субъект Российской Федерации </w:t>
              <w:br/>
              <w:t xml:space="preserve">(за исключением городов федерального значения)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21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Неспециализированное учреждение молодежной политики молодежный центр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14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Независимо </w:t>
              <w:br/>
              <w:t xml:space="preserve">от численности населения</w:t>
            </w: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65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учреждени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 на уровне субъекта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Транспортная доступность для жителей населенного пункта, в котором размещается учреждение  – в течение 1 часа;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жителей отдаленных, малонаселенных </w:t>
              <w:br/>
              <w:t xml:space="preserve">и труднодоступных территорий – определяется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субъектом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самостоятельно;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жителей городов федерального значения – определяется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субъектом Российской Федерации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16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21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Специализированное учреждение молодежной политики: центр поддержки талантливой молодёжи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14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Независимо </w:t>
              <w:br/>
              <w:t xml:space="preserve">от численности населения</w:t>
            </w: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65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1 учреждения на уровне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субъекта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1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16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21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Специализированное учреждение молодежной политики: центр социально-психологической помощи молодым гражданам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14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Независимо </w:t>
              <w:br/>
              <w:t xml:space="preserve">от численности населения</w:t>
            </w: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65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1 учреждения на уровне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субъекта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1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16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21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Специализированное учреждение молодежной политики: центр патриотического воспитания молодёжи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14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Независимо </w:t>
              <w:br/>
              <w:t xml:space="preserve">от численности населения</w:t>
            </w: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65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1 учреждения на уровне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субъекта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1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16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21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Специализированное учреждение молодежной политики: молодёжный центр добровольчества (волонтерства)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14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Независимо </w:t>
              <w:br/>
              <w:t xml:space="preserve">от численности населения</w:t>
            </w: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65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менее 1 учреждения на уровне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субъекта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1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1472"/>
        </w:trPr>
        <w:tc>
          <w:tcPr>
            <w:tcBorders/>
            <w:tcW w:w="16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Городской округ, городской округ с внутригородским делением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21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Неспециализированное учреждение молодежной политики молодежный центр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14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Население свыше 100 тыс. чел.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6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учреждение на 100 тыс. чел. населения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филиало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  <w:br/>
              <w:t xml:space="preserve">или структурных подразделений учреждени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каждом городском </w:t>
              <w:br/>
              <w:t xml:space="preserve">и сельском населенном пункте, </w:t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являющи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ся муниципальным образовани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населением свыше 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тыс.чел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либо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учреждение </w:t>
              <w:br/>
              <w:t xml:space="preserve">на каждый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городск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сельски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населенны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пункт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являющи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ся муниципал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ным образовани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  <w:br/>
              <w:t xml:space="preserve">с населением свыше 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тыс.чел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Транспортная доступность до 1 часа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16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2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14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Население менее 100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тыс.чел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6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учреждение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1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16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21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Специализированное учреждение молодежной политики центр поддержки талантливой молодёжи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14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Население свыше 250 тыс. чел.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6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учреждение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Транспортная доступность до 1 часа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16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21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Специализированное учреждение молодежной политики центр социально-психологической помощи молодым гражданам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14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Население свыше 250 тыс. чел.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6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учреждение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Транспортная доступность до 1 часа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16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21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Специализированное учреждение молодежной политики центр патриотического воспитания молодёжи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14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Население свыше 100 тыс. чел.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6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учреждение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Транспортная доступность до 1 часа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16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21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Специализированное учреждение молодежной политики молодёжный центр добровольчества (волонтерства)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14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Население свыше 100 тыс. чел.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6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учреждение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Транспортная доступность до 1 часа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16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21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Неспециализированное учреждение молодежной политики молодежный центр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14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Независимо от численности населения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6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учреждени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филиало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  <w:br/>
              <w:t xml:space="preserve">или структурных подразделений учреждени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 в каждом городском </w:t>
              <w:br/>
              <w:t xml:space="preserve">и сельском населенном пункте, </w:t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являющимся муниципальным образовани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населением свыше 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тыс.чел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либо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молодежное пространство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каждый городской и сельский населенный пункт,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  <w:br/>
              <w:t xml:space="preserve">не являющи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ся муниципал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ным образовани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населением свыше 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тыс.чел</w:t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Транспортная доступность для жителей населенного пункта, в котором размещается учреждение  – в течение 1 часа;</w:t>
            </w:r>
            <w:fldSimple w:instr="PAGE \* MERGEFORMAT">
              <w:r>
                <w:rPr>
                  <w:rFonts w:ascii="Times New Roman" w:hAnsi="Times New Roman" w:cs="Times New Roman"/>
                  <w:sz w:val="16"/>
                  <w:szCs w:val="16"/>
                </w:rPr>
                <w:t xml:space="preserve">1</w:t>
              </w:r>
            </w:fldSimple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жителей отдаленных, малонаселенных </w:t>
              <w:br/>
              <w:t xml:space="preserve">и труднодоступных территорий – определяется субъектом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16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21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Специализированное учреждение молодежной политики: по направлению реализации молодёжной политики на усмотрение администрации муниципального округа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14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Население свыше 50 тыс. чел.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65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учреждение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Транспортная доступность для жителей населенного пункта, в котором размещается учреждение  – в течение 1 часа;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жителей отдаленных, малонаселенных </w:t>
              <w:br/>
              <w:t xml:space="preserve">и труднодоступных территорий – определяется субъектом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gridSpan w:val="5"/>
            <w:tcBorders/>
            <w:tcW w:w="101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Для субъектов Российской Федерации, имеющих социально-экономические, исторические, национальные и иные особенности </w:t>
              <w:br/>
              <w:t xml:space="preserve">и сохранивших законом субъекта Российской Федераци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 территориальную организацию местного самоуправления с осуществлением местного самоуправления в видах муниципальных образований, образующих двухуровневую систему организации местного самоуправления (поселения (сельские и городские) и муниципальные районы)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16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21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Неспециализированное учреждение молодежной политики молодежный центр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14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Независимо от численности населения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6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учреждение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Транспортная доступность для жителей населенного пункта, в котором размещается учреждение  – в течение 1 часа;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жителей отдаленных, малонаселенных </w:t>
              <w:br/>
              <w:t xml:space="preserve">и труднодоступных территорий – определяется субъектом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Borders/>
            <w:tcW w:w="16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Городские </w:t>
              <w:br/>
              <w:t xml:space="preserve">и сельские поселения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21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Неспециализированное учреждение молодежной политики молодежный центр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14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Население более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тыс. человек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6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филиал или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труктурн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я,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либо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молодежное пространство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Транспортная доступность до 30 минут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</w:tbl>
    <w:p>
      <w:pPr>
        <w:pBdr/>
        <w:spacing/>
        <w:ind/>
        <w:rPr/>
      </w:pPr>
      <w:r/>
      <w:r/>
      <w:r/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/>
        <w:ind w:right="-282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h="16834" w:orient="portrait" w:w="11909"/>
      <w:pgMar w:top="1134" w:right="567" w:bottom="1134" w:left="1134" w:header="720" w:footer="720" w:gutter="0"/>
      <w:pgNumType w:start="3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Roboto">
    <w:panose1 w:val="05050102010205020202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pBdr/>
      <w:spacing/>
      <w:ind/>
      <w:jc w:val="center"/>
      <w:rPr>
        <w:rFonts w:ascii="Times New Roman" w:hAnsi="Times New Roman" w:cs="Times New Roman"/>
        <w:sz w:val="28"/>
        <w:szCs w:val="28"/>
      </w:rPr>
    </w:pPr>
    <w:r>
      <w:rPr>
        <w:rStyle w:val="979"/>
        <w:rFonts w:ascii="Times New Roman" w:hAnsi="Times New Roman" w:cs="Times New Roman"/>
        <w:sz w:val="28"/>
        <w:szCs w:val="28"/>
      </w:rPr>
      <w:t xml:space="preserve">2</w:t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5723577"/>
      <w:docPartObj>
        <w:docPartGallery w:val="Page Numbers (Top of Page)"/>
        <w:docPartUnique w:val="true"/>
      </w:docPartObj>
      <w:rPr/>
    </w:sdtPr>
    <w:sdtContent>
      <w:p>
        <w:pPr>
          <w:pStyle w:val="980"/>
          <w:framePr w:hAnchor="margin" w:vAnchor="text" w:wrap="none" w:xAlign="center" w:y="1"/>
          <w:pBdr/>
          <w:spacing/>
          <w:ind/>
          <w:rPr>
            <w:rStyle w:val="979"/>
          </w:rPr>
        </w:pPr>
        <w:r>
          <w:rPr>
            <w:rStyle w:val="979"/>
          </w:rPr>
          <w:fldChar w:fldCharType="begin"/>
        </w:r>
        <w:r>
          <w:rPr>
            <w:rStyle w:val="979"/>
          </w:rPr>
          <w:instrText xml:space="preserve"> PAGE </w:instrText>
        </w:r>
        <w:r>
          <w:rPr>
            <w:rStyle w:val="979"/>
          </w:rPr>
          <w:fldChar w:fldCharType="end"/>
        </w:r>
        <w:r>
          <w:rPr>
            <w:rStyle w:val="979"/>
          </w:rPr>
        </w:r>
        <w:r>
          <w:rPr>
            <w:rStyle w:val="979"/>
          </w:rPr>
        </w:r>
      </w:p>
    </w:sdtContent>
  </w:sdt>
  <w:p>
    <w:pPr>
      <w:pStyle w:val="98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Roboto" w:hAnsi="Roboto" w:eastAsia="Roboto" w:cs="Roboto"/>
        <w:color w:val="404040"/>
        <w:sz w:val="24"/>
        <w:szCs w:val="24"/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i/>
        <w:sz w:val="24"/>
        <w:lang w:val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lef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lef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ru-RU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7">
    <w:name w:val="Placeholder Text"/>
    <w:basedOn w:val="779"/>
    <w:uiPriority w:val="99"/>
    <w:semiHidden/>
    <w:pPr>
      <w:pBdr/>
      <w:spacing/>
      <w:ind/>
    </w:pPr>
    <w:rPr>
      <w:color w:val="666666"/>
    </w:rPr>
  </w:style>
  <w:style w:type="character" w:styleId="753">
    <w:name w:val="Heading 1 Char"/>
    <w:basedOn w:val="779"/>
    <w:link w:val="77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4">
    <w:name w:val="Heading 2 Char"/>
    <w:basedOn w:val="779"/>
    <w:link w:val="77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5">
    <w:name w:val="Heading 3 Char"/>
    <w:basedOn w:val="779"/>
    <w:link w:val="77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6">
    <w:name w:val="Heading 4 Char"/>
    <w:basedOn w:val="779"/>
    <w:link w:val="77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7">
    <w:name w:val="Heading 5 Char"/>
    <w:basedOn w:val="779"/>
    <w:link w:val="77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8">
    <w:name w:val="Heading 6 Char"/>
    <w:basedOn w:val="779"/>
    <w:link w:val="77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7 Char"/>
    <w:basedOn w:val="779"/>
    <w:link w:val="77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0">
    <w:name w:val="Heading 8 Char"/>
    <w:basedOn w:val="779"/>
    <w:link w:val="77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1">
    <w:name w:val="Heading 9 Char"/>
    <w:basedOn w:val="779"/>
    <w:link w:val="7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Title Char"/>
    <w:basedOn w:val="779"/>
    <w:link w:val="950"/>
    <w:uiPriority w:val="10"/>
    <w:pPr>
      <w:pBdr/>
      <w:spacing/>
      <w:ind/>
    </w:pPr>
    <w:rPr>
      <w:sz w:val="48"/>
      <w:szCs w:val="48"/>
    </w:rPr>
  </w:style>
  <w:style w:type="character" w:styleId="763">
    <w:name w:val="Subtitle Char"/>
    <w:basedOn w:val="779"/>
    <w:link w:val="951"/>
    <w:uiPriority w:val="11"/>
    <w:pPr>
      <w:pBdr/>
      <w:spacing/>
      <w:ind/>
    </w:pPr>
    <w:rPr>
      <w:sz w:val="24"/>
      <w:szCs w:val="24"/>
    </w:rPr>
  </w:style>
  <w:style w:type="character" w:styleId="764">
    <w:name w:val="Quote Char"/>
    <w:link w:val="918"/>
    <w:uiPriority w:val="29"/>
    <w:pPr>
      <w:pBdr/>
      <w:spacing/>
      <w:ind/>
    </w:pPr>
    <w:rPr>
      <w:i/>
    </w:rPr>
  </w:style>
  <w:style w:type="character" w:styleId="765">
    <w:name w:val="Intense Quote Char"/>
    <w:link w:val="921"/>
    <w:uiPriority w:val="30"/>
    <w:pPr>
      <w:pBdr/>
      <w:spacing/>
      <w:ind/>
    </w:pPr>
    <w:rPr>
      <w:i/>
    </w:rPr>
  </w:style>
  <w:style w:type="character" w:styleId="766">
    <w:name w:val="Caption Char"/>
    <w:basedOn w:val="931"/>
    <w:link w:val="977"/>
    <w:uiPriority w:val="99"/>
    <w:pPr>
      <w:pBdr/>
      <w:spacing/>
      <w:ind/>
    </w:pPr>
  </w:style>
  <w:style w:type="character" w:styleId="767">
    <w:name w:val="Footnote Text Char"/>
    <w:link w:val="932"/>
    <w:uiPriority w:val="99"/>
    <w:pPr>
      <w:pBdr/>
      <w:spacing/>
      <w:ind/>
    </w:pPr>
    <w:rPr>
      <w:sz w:val="18"/>
    </w:rPr>
  </w:style>
  <w:style w:type="character" w:styleId="768">
    <w:name w:val="Endnote Text Char"/>
    <w:link w:val="935"/>
    <w:uiPriority w:val="99"/>
    <w:pPr>
      <w:pBdr/>
      <w:spacing/>
      <w:ind/>
    </w:pPr>
    <w:rPr>
      <w:sz w:val="20"/>
    </w:rPr>
  </w:style>
  <w:style w:type="paragraph" w:styleId="769" w:default="1">
    <w:name w:val="Normal"/>
    <w:qFormat/>
    <w:pPr>
      <w:pBdr/>
      <w:spacing/>
      <w:ind/>
    </w:pPr>
  </w:style>
  <w:style w:type="paragraph" w:styleId="770">
    <w:name w:val="Heading 1"/>
    <w:basedOn w:val="769"/>
    <w:next w:val="769"/>
    <w:link w:val="907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771">
    <w:name w:val="Heading 2"/>
    <w:basedOn w:val="769"/>
    <w:next w:val="769"/>
    <w:link w:val="908"/>
    <w:uiPriority w:val="9"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772">
    <w:name w:val="Heading 3"/>
    <w:basedOn w:val="769"/>
    <w:next w:val="769"/>
    <w:link w:val="909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773">
    <w:name w:val="Heading 4"/>
    <w:basedOn w:val="769"/>
    <w:next w:val="769"/>
    <w:link w:val="910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774">
    <w:name w:val="Heading 5"/>
    <w:basedOn w:val="769"/>
    <w:next w:val="769"/>
    <w:link w:val="911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775">
    <w:name w:val="Heading 6"/>
    <w:basedOn w:val="769"/>
    <w:next w:val="769"/>
    <w:link w:val="912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paragraph" w:styleId="776">
    <w:name w:val="Heading 7"/>
    <w:basedOn w:val="769"/>
    <w:next w:val="769"/>
    <w:link w:val="91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color w:val="595959" w:themeColor="text1" w:themeTint="A6"/>
    </w:rPr>
  </w:style>
  <w:style w:type="paragraph" w:styleId="777">
    <w:name w:val="Heading 8"/>
    <w:basedOn w:val="769"/>
    <w:next w:val="769"/>
    <w:link w:val="914"/>
    <w:uiPriority w:val="9"/>
    <w:unhideWhenUsed/>
    <w:qFormat/>
    <w:pPr>
      <w:keepNext w:val="true"/>
      <w:keepLines w:val="true"/>
      <w:pBdr/>
      <w:spacing/>
      <w:ind/>
      <w:outlineLvl w:val="7"/>
    </w:pPr>
    <w:rPr>
      <w:i/>
      <w:iCs/>
      <w:color w:val="272727" w:themeColor="text1" w:themeTint="D8"/>
    </w:rPr>
  </w:style>
  <w:style w:type="paragraph" w:styleId="778">
    <w:name w:val="Heading 9"/>
    <w:basedOn w:val="769"/>
    <w:next w:val="769"/>
    <w:link w:val="915"/>
    <w:uiPriority w:val="9"/>
    <w:unhideWhenUsed/>
    <w:qFormat/>
    <w:pPr>
      <w:keepNext w:val="true"/>
      <w:keepLines w:val="true"/>
      <w:pBdr/>
      <w:spacing/>
      <w:ind/>
      <w:outlineLvl w:val="8"/>
    </w:pPr>
    <w:rPr>
      <w:i/>
      <w:iCs/>
      <w:color w:val="272727" w:themeColor="text1" w:themeTint="D8"/>
    </w:rPr>
  </w:style>
  <w:style w:type="character" w:styleId="779" w:default="1">
    <w:name w:val="Default Paragraph Font"/>
    <w:uiPriority w:val="1"/>
    <w:semiHidden/>
    <w:unhideWhenUsed/>
    <w:pPr>
      <w:pBdr/>
      <w:spacing/>
      <w:ind/>
    </w:pPr>
  </w:style>
  <w:style w:type="table" w:styleId="78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1" w:default="1">
    <w:name w:val="No List"/>
    <w:uiPriority w:val="99"/>
    <w:semiHidden/>
    <w:unhideWhenUsed/>
    <w:pPr>
      <w:pBdr/>
      <w:spacing/>
      <w:ind/>
    </w:pPr>
  </w:style>
  <w:style w:type="table" w:styleId="782" w:customStyle="1">
    <w:name w:val="Table Grid Light"/>
    <w:basedOn w:val="780"/>
    <w:uiPriority w:val="59"/>
    <w:pPr>
      <w:pBdr/>
      <w:spacing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Plain Table 1"/>
    <w:basedOn w:val="780"/>
    <w:uiPriority w:val="59"/>
    <w:pPr>
      <w:pBdr/>
      <w:spacing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Plain Table 2"/>
    <w:basedOn w:val="780"/>
    <w:uiPriority w:val="59"/>
    <w:pPr>
      <w:pBdr/>
      <w:spacing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Plain Table 3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Plain Table 4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Plain Table 5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1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2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3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4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5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6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1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2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3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4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5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6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1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2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3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4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5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6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"/>
    <w:basedOn w:val="780"/>
    <w:uiPriority w:val="5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1"/>
    <w:basedOn w:val="780"/>
    <w:uiPriority w:val="5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2"/>
    <w:basedOn w:val="780"/>
    <w:uiPriority w:val="5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3"/>
    <w:basedOn w:val="780"/>
    <w:uiPriority w:val="5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4"/>
    <w:basedOn w:val="780"/>
    <w:uiPriority w:val="5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5"/>
    <w:basedOn w:val="780"/>
    <w:uiPriority w:val="5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6"/>
    <w:basedOn w:val="780"/>
    <w:uiPriority w:val="5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- Accent 1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2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3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4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5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6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1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2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3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4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5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6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1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2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3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4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5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6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1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2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3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4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5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6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1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2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3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4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5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6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1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2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3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4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5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6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1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2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3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4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5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6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1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2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3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4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5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6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1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2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3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4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5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6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1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2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3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4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5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6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"/>
    <w:basedOn w:val="780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1"/>
    <w:basedOn w:val="780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2"/>
    <w:basedOn w:val="780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3"/>
    <w:basedOn w:val="780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4"/>
    <w:basedOn w:val="780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5"/>
    <w:basedOn w:val="780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6"/>
    <w:basedOn w:val="780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"/>
    <w:basedOn w:val="780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1"/>
    <w:basedOn w:val="780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2"/>
    <w:basedOn w:val="780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3"/>
    <w:basedOn w:val="780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4"/>
    <w:basedOn w:val="780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5"/>
    <w:basedOn w:val="780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6"/>
    <w:basedOn w:val="780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1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2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3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4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5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6"/>
    <w:basedOn w:val="780"/>
    <w:uiPriority w:val="99"/>
    <w:pPr>
      <w:pBdr/>
      <w:spacing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7" w:customStyle="1">
    <w:name w:val="Заголовок 1 Знак"/>
    <w:basedOn w:val="779"/>
    <w:link w:val="77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08" w:customStyle="1">
    <w:name w:val="Заголовок 2 Знак"/>
    <w:basedOn w:val="779"/>
    <w:link w:val="77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09" w:customStyle="1">
    <w:name w:val="Заголовок 3 Знак"/>
    <w:basedOn w:val="779"/>
    <w:link w:val="7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10" w:customStyle="1">
    <w:name w:val="Заголовок 4 Знак"/>
    <w:basedOn w:val="779"/>
    <w:link w:val="773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11" w:customStyle="1">
    <w:name w:val="Заголовок 5 Знак"/>
    <w:basedOn w:val="779"/>
    <w:link w:val="77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12" w:customStyle="1">
    <w:name w:val="Заголовок 6 Знак"/>
    <w:basedOn w:val="779"/>
    <w:link w:val="77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3" w:customStyle="1">
    <w:name w:val="Заголовок 7 Знак"/>
    <w:basedOn w:val="779"/>
    <w:link w:val="77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4" w:customStyle="1">
    <w:name w:val="Заголовок 8 Знак"/>
    <w:basedOn w:val="779"/>
    <w:link w:val="7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5" w:customStyle="1">
    <w:name w:val="Заголовок 9 Знак"/>
    <w:basedOn w:val="779"/>
    <w:link w:val="7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6" w:customStyle="1">
    <w:name w:val="Название Знак"/>
    <w:basedOn w:val="779"/>
    <w:link w:val="9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17" w:customStyle="1">
    <w:name w:val="Подзаголовок Знак"/>
    <w:basedOn w:val="779"/>
    <w:link w:val="9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8">
    <w:name w:val="Quote"/>
    <w:basedOn w:val="769"/>
    <w:next w:val="769"/>
    <w:link w:val="9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9" w:customStyle="1">
    <w:name w:val="Цитата 2 Знак"/>
    <w:basedOn w:val="779"/>
    <w:link w:val="9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0">
    <w:name w:val="Intense Emphasis"/>
    <w:basedOn w:val="77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21">
    <w:name w:val="Intense Quote"/>
    <w:basedOn w:val="769"/>
    <w:next w:val="769"/>
    <w:link w:val="92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22" w:customStyle="1">
    <w:name w:val="Выделенная цитата Знак"/>
    <w:basedOn w:val="779"/>
    <w:link w:val="92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23">
    <w:name w:val="Intense Reference"/>
    <w:basedOn w:val="77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24">
    <w:name w:val="No Spacing"/>
    <w:basedOn w:val="769"/>
    <w:uiPriority w:val="1"/>
    <w:qFormat/>
    <w:pPr>
      <w:pBdr/>
      <w:spacing w:line="240" w:lineRule="auto"/>
      <w:ind/>
    </w:pPr>
  </w:style>
  <w:style w:type="character" w:styleId="925">
    <w:name w:val="Subtle Emphasis"/>
    <w:basedOn w:val="7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6">
    <w:name w:val="Emphasis"/>
    <w:basedOn w:val="779"/>
    <w:uiPriority w:val="20"/>
    <w:qFormat/>
    <w:pPr>
      <w:pBdr/>
      <w:spacing/>
      <w:ind/>
    </w:pPr>
    <w:rPr>
      <w:i/>
      <w:iCs/>
    </w:rPr>
  </w:style>
  <w:style w:type="character" w:styleId="927">
    <w:name w:val="Subtle Reference"/>
    <w:basedOn w:val="7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8">
    <w:name w:val="Book Title"/>
    <w:basedOn w:val="77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9" w:customStyle="1">
    <w:name w:val="Header Char"/>
    <w:basedOn w:val="779"/>
    <w:uiPriority w:val="99"/>
    <w:pPr>
      <w:pBdr/>
      <w:spacing/>
      <w:ind/>
    </w:pPr>
  </w:style>
  <w:style w:type="character" w:styleId="930" w:customStyle="1">
    <w:name w:val="Footer Char"/>
    <w:basedOn w:val="779"/>
    <w:uiPriority w:val="99"/>
    <w:pPr>
      <w:pBdr/>
      <w:spacing/>
      <w:ind/>
    </w:pPr>
  </w:style>
  <w:style w:type="paragraph" w:styleId="931">
    <w:name w:val="Caption"/>
    <w:basedOn w:val="769"/>
    <w:next w:val="769"/>
    <w:uiPriority w:val="35"/>
    <w:unhideWhenUsed/>
    <w:qFormat/>
    <w:pPr>
      <w:pBdr/>
      <w:spacing w:after="200" w:line="240" w:lineRule="auto"/>
      <w:ind/>
    </w:pPr>
    <w:rPr>
      <w:i/>
      <w:iCs/>
      <w:color w:val="1f497d" w:themeColor="text2"/>
      <w:sz w:val="18"/>
      <w:szCs w:val="18"/>
    </w:rPr>
  </w:style>
  <w:style w:type="paragraph" w:styleId="932">
    <w:name w:val="footnote text"/>
    <w:basedOn w:val="769"/>
    <w:link w:val="933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33" w:customStyle="1">
    <w:name w:val="Текст сноски Знак"/>
    <w:basedOn w:val="779"/>
    <w:link w:val="932"/>
    <w:uiPriority w:val="99"/>
    <w:semiHidden/>
    <w:pPr>
      <w:pBdr/>
      <w:spacing/>
      <w:ind/>
    </w:pPr>
    <w:rPr>
      <w:sz w:val="20"/>
      <w:szCs w:val="20"/>
    </w:rPr>
  </w:style>
  <w:style w:type="character" w:styleId="934">
    <w:name w:val="footnote reference"/>
    <w:basedOn w:val="779"/>
    <w:uiPriority w:val="99"/>
    <w:semiHidden/>
    <w:unhideWhenUsed/>
    <w:pPr>
      <w:pBdr/>
      <w:spacing/>
      <w:ind/>
    </w:pPr>
    <w:rPr>
      <w:vertAlign w:val="superscript"/>
    </w:rPr>
  </w:style>
  <w:style w:type="paragraph" w:styleId="935">
    <w:name w:val="endnote text"/>
    <w:basedOn w:val="769"/>
    <w:link w:val="936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36" w:customStyle="1">
    <w:name w:val="Текст концевой сноски Знак"/>
    <w:basedOn w:val="779"/>
    <w:link w:val="935"/>
    <w:uiPriority w:val="99"/>
    <w:semiHidden/>
    <w:pPr>
      <w:pBdr/>
      <w:spacing/>
      <w:ind/>
    </w:pPr>
    <w:rPr>
      <w:sz w:val="20"/>
      <w:szCs w:val="20"/>
    </w:rPr>
  </w:style>
  <w:style w:type="character" w:styleId="937">
    <w:name w:val="endnote reference"/>
    <w:basedOn w:val="779"/>
    <w:uiPriority w:val="99"/>
    <w:semiHidden/>
    <w:unhideWhenUsed/>
    <w:pPr>
      <w:pBdr/>
      <w:spacing/>
      <w:ind/>
    </w:pPr>
    <w:rPr>
      <w:vertAlign w:val="superscript"/>
    </w:rPr>
  </w:style>
  <w:style w:type="paragraph" w:styleId="938">
    <w:name w:val="toc 1"/>
    <w:basedOn w:val="769"/>
    <w:next w:val="769"/>
    <w:uiPriority w:val="39"/>
    <w:unhideWhenUsed/>
    <w:pPr>
      <w:pBdr/>
      <w:spacing w:after="100"/>
      <w:ind/>
    </w:pPr>
  </w:style>
  <w:style w:type="paragraph" w:styleId="939">
    <w:name w:val="toc 2"/>
    <w:basedOn w:val="769"/>
    <w:next w:val="769"/>
    <w:uiPriority w:val="39"/>
    <w:unhideWhenUsed/>
    <w:pPr>
      <w:pBdr/>
      <w:spacing w:after="100"/>
      <w:ind w:left="220"/>
    </w:pPr>
  </w:style>
  <w:style w:type="paragraph" w:styleId="940">
    <w:name w:val="toc 3"/>
    <w:basedOn w:val="769"/>
    <w:next w:val="769"/>
    <w:uiPriority w:val="39"/>
    <w:unhideWhenUsed/>
    <w:pPr>
      <w:pBdr/>
      <w:spacing w:after="100"/>
      <w:ind w:left="440"/>
    </w:pPr>
  </w:style>
  <w:style w:type="paragraph" w:styleId="941">
    <w:name w:val="toc 4"/>
    <w:basedOn w:val="769"/>
    <w:next w:val="769"/>
    <w:uiPriority w:val="39"/>
    <w:unhideWhenUsed/>
    <w:pPr>
      <w:pBdr/>
      <w:spacing w:after="100"/>
      <w:ind w:left="660"/>
    </w:pPr>
  </w:style>
  <w:style w:type="paragraph" w:styleId="942">
    <w:name w:val="toc 5"/>
    <w:basedOn w:val="769"/>
    <w:next w:val="769"/>
    <w:uiPriority w:val="39"/>
    <w:unhideWhenUsed/>
    <w:pPr>
      <w:pBdr/>
      <w:spacing w:after="100"/>
      <w:ind w:left="880"/>
    </w:pPr>
  </w:style>
  <w:style w:type="paragraph" w:styleId="943">
    <w:name w:val="toc 6"/>
    <w:basedOn w:val="769"/>
    <w:next w:val="769"/>
    <w:uiPriority w:val="39"/>
    <w:unhideWhenUsed/>
    <w:pPr>
      <w:pBdr/>
      <w:spacing w:after="100"/>
      <w:ind w:left="1100"/>
    </w:pPr>
  </w:style>
  <w:style w:type="paragraph" w:styleId="944">
    <w:name w:val="toc 7"/>
    <w:basedOn w:val="769"/>
    <w:next w:val="769"/>
    <w:uiPriority w:val="39"/>
    <w:unhideWhenUsed/>
    <w:pPr>
      <w:pBdr/>
      <w:spacing w:after="100"/>
      <w:ind w:left="1320"/>
    </w:pPr>
  </w:style>
  <w:style w:type="paragraph" w:styleId="945">
    <w:name w:val="toc 8"/>
    <w:basedOn w:val="769"/>
    <w:next w:val="769"/>
    <w:uiPriority w:val="39"/>
    <w:unhideWhenUsed/>
    <w:pPr>
      <w:pBdr/>
      <w:spacing w:after="100"/>
      <w:ind w:left="1540"/>
    </w:pPr>
  </w:style>
  <w:style w:type="paragraph" w:styleId="946">
    <w:name w:val="toc 9"/>
    <w:basedOn w:val="769"/>
    <w:next w:val="769"/>
    <w:uiPriority w:val="39"/>
    <w:unhideWhenUsed/>
    <w:pPr>
      <w:pBdr/>
      <w:spacing w:after="100"/>
      <w:ind w:left="1760"/>
    </w:pPr>
  </w:style>
  <w:style w:type="paragraph" w:styleId="947">
    <w:name w:val="TOC Heading"/>
    <w:uiPriority w:val="39"/>
    <w:unhideWhenUsed/>
    <w:pPr>
      <w:pBdr/>
      <w:spacing/>
      <w:ind/>
    </w:pPr>
  </w:style>
  <w:style w:type="paragraph" w:styleId="948">
    <w:name w:val="table of figures"/>
    <w:basedOn w:val="769"/>
    <w:next w:val="769"/>
    <w:uiPriority w:val="99"/>
    <w:unhideWhenUsed/>
    <w:pPr>
      <w:pBdr/>
      <w:spacing/>
      <w:ind/>
    </w:pPr>
  </w:style>
  <w:style w:type="table" w:styleId="949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0">
    <w:name w:val="Title"/>
    <w:basedOn w:val="769"/>
    <w:next w:val="769"/>
    <w:link w:val="916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51">
    <w:name w:val="Subtitle"/>
    <w:basedOn w:val="769"/>
    <w:next w:val="769"/>
    <w:link w:val="917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52" w:customStyle="1">
    <w:name w:val="StGen0"/>
    <w:basedOn w:val="949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StGen1"/>
    <w:basedOn w:val="949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StGen2"/>
    <w:basedOn w:val="949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StGen3"/>
    <w:basedOn w:val="949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StGen4"/>
    <w:basedOn w:val="949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StGen5"/>
    <w:basedOn w:val="949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StGen6"/>
    <w:basedOn w:val="949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StGen7"/>
    <w:basedOn w:val="949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StGen8"/>
    <w:basedOn w:val="949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StGen9"/>
    <w:basedOn w:val="949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StGen10"/>
    <w:basedOn w:val="949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StGen11"/>
    <w:basedOn w:val="949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annotation text"/>
    <w:basedOn w:val="769"/>
    <w:link w:val="965"/>
    <w:uiPriority w:val="99"/>
    <w:unhideWhenUsed/>
    <w:pPr>
      <w:pBdr/>
      <w:spacing w:line="240" w:lineRule="auto"/>
      <w:ind/>
    </w:pPr>
    <w:rPr>
      <w:sz w:val="20"/>
      <w:szCs w:val="20"/>
    </w:rPr>
  </w:style>
  <w:style w:type="character" w:styleId="965" w:customStyle="1">
    <w:name w:val="Текст примечания Знак"/>
    <w:basedOn w:val="779"/>
    <w:link w:val="964"/>
    <w:uiPriority w:val="99"/>
    <w:pPr>
      <w:pBdr/>
      <w:spacing/>
      <w:ind/>
    </w:pPr>
    <w:rPr>
      <w:sz w:val="20"/>
      <w:szCs w:val="20"/>
    </w:rPr>
  </w:style>
  <w:style w:type="character" w:styleId="966">
    <w:name w:val="annotation reference"/>
    <w:basedOn w:val="779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67">
    <w:name w:val="annotation subject"/>
    <w:basedOn w:val="964"/>
    <w:next w:val="964"/>
    <w:link w:val="968"/>
    <w:uiPriority w:val="99"/>
    <w:semiHidden/>
    <w:unhideWhenUsed/>
    <w:pPr>
      <w:pBdr/>
      <w:spacing/>
      <w:ind/>
    </w:pPr>
    <w:rPr>
      <w:b/>
      <w:bCs/>
    </w:rPr>
  </w:style>
  <w:style w:type="character" w:styleId="968" w:customStyle="1">
    <w:name w:val="Тема примечания Знак"/>
    <w:basedOn w:val="965"/>
    <w:link w:val="967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69">
    <w:name w:val="Revision"/>
    <w:hidden/>
    <w:uiPriority w:val="99"/>
    <w:semiHidden/>
    <w:pPr>
      <w:pBdr/>
      <w:spacing w:line="240" w:lineRule="auto"/>
      <w:ind/>
    </w:pPr>
  </w:style>
  <w:style w:type="character" w:styleId="970">
    <w:name w:val="Hyperlink"/>
    <w:basedOn w:val="779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71" w:customStyle="1">
    <w:name w:val="Неразрешенное упоминание1"/>
    <w:basedOn w:val="77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72">
    <w:name w:val="List Paragraph"/>
    <w:basedOn w:val="769"/>
    <w:link w:val="986"/>
    <w:qFormat/>
    <w:pPr>
      <w:pBdr/>
      <w:spacing/>
      <w:ind w:left="720"/>
      <w:contextualSpacing w:val="true"/>
    </w:pPr>
  </w:style>
  <w:style w:type="character" w:styleId="973">
    <w:name w:val="FollowedHyperlink"/>
    <w:basedOn w:val="77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74">
    <w:name w:val="Balloon Text"/>
    <w:basedOn w:val="769"/>
    <w:link w:val="975"/>
    <w:uiPriority w:val="99"/>
    <w:semiHidden/>
    <w:unhideWhenUsed/>
    <w:pPr>
      <w:pBdr/>
      <w:spacing w:line="240" w:lineRule="auto"/>
      <w:ind/>
    </w:pPr>
    <w:rPr>
      <w:rFonts w:ascii="Segoe UI" w:hAnsi="Segoe UI" w:cs="Segoe UI"/>
      <w:sz w:val="18"/>
      <w:szCs w:val="18"/>
    </w:rPr>
  </w:style>
  <w:style w:type="character" w:styleId="975" w:customStyle="1">
    <w:name w:val="Текст выноски Знак"/>
    <w:basedOn w:val="779"/>
    <w:link w:val="97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76" w:customStyle="1">
    <w:name w:val="Неразрешенное упоминание2"/>
    <w:basedOn w:val="77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77">
    <w:name w:val="Footer"/>
    <w:basedOn w:val="769"/>
    <w:link w:val="978"/>
    <w:uiPriority w:val="99"/>
    <w:unhideWhenUsed/>
    <w:pPr>
      <w:pBdr/>
      <w:tabs>
        <w:tab w:val="center" w:leader="none" w:pos="4677"/>
        <w:tab w:val="right" w:leader="none" w:pos="9355"/>
      </w:tabs>
      <w:spacing w:line="240" w:lineRule="auto"/>
      <w:ind/>
    </w:pPr>
  </w:style>
  <w:style w:type="character" w:styleId="978" w:customStyle="1">
    <w:name w:val="Нижний колонтитул Знак"/>
    <w:basedOn w:val="779"/>
    <w:link w:val="977"/>
    <w:uiPriority w:val="99"/>
    <w:pPr>
      <w:pBdr/>
      <w:spacing/>
      <w:ind/>
    </w:pPr>
  </w:style>
  <w:style w:type="character" w:styleId="979">
    <w:name w:val="page number"/>
    <w:basedOn w:val="779"/>
    <w:uiPriority w:val="99"/>
    <w:semiHidden/>
    <w:unhideWhenUsed/>
    <w:pPr>
      <w:pBdr/>
      <w:spacing/>
      <w:ind/>
    </w:pPr>
  </w:style>
  <w:style w:type="paragraph" w:styleId="980">
    <w:name w:val="Header"/>
    <w:basedOn w:val="769"/>
    <w:link w:val="981"/>
    <w:uiPriority w:val="99"/>
    <w:unhideWhenUsed/>
    <w:pPr>
      <w:pBdr/>
      <w:tabs>
        <w:tab w:val="center" w:leader="none" w:pos="4677"/>
        <w:tab w:val="right" w:leader="none" w:pos="9355"/>
      </w:tabs>
      <w:spacing w:line="240" w:lineRule="auto"/>
      <w:ind/>
    </w:pPr>
  </w:style>
  <w:style w:type="character" w:styleId="981" w:customStyle="1">
    <w:name w:val="Верхний колонтитул Знак"/>
    <w:basedOn w:val="779"/>
    <w:link w:val="980"/>
    <w:uiPriority w:val="99"/>
    <w:pPr>
      <w:pBdr/>
      <w:spacing/>
      <w:ind/>
    </w:pPr>
  </w:style>
  <w:style w:type="paragraph" w:styleId="982" w:customStyle="1">
    <w:name w:val="ConsPlusTitle"/>
    <w:pPr>
      <w:widowControl w:val="false"/>
      <w:pBdr/>
      <w:spacing w:line="240" w:lineRule="auto"/>
      <w:ind/>
    </w:pPr>
    <w:rPr>
      <w:rFonts w:ascii="Calibri" w:hAnsi="Calibri"/>
      <w:b/>
      <w:color w:val="000000"/>
      <w:lang w:val="en-US" w:eastAsia="en-US" w:bidi="en-US"/>
    </w:rPr>
  </w:style>
  <w:style w:type="table" w:styleId="983">
    <w:name w:val="Table Grid"/>
    <w:basedOn w:val="780"/>
    <w:pPr>
      <w:pBdr/>
      <w:spacing w:line="240" w:lineRule="auto"/>
      <w:ind/>
    </w:pPr>
    <w:rPr>
      <w:rFonts w:ascii="Calibri" w:hAnsi="Calibri"/>
      <w:color w:val="000000"/>
      <w:lang w:val="en-US" w:eastAsia="en-US" w:bidi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4" w:customStyle="1">
    <w:name w:val="Строгий1"/>
    <w:basedOn w:val="769"/>
    <w:link w:val="985"/>
    <w:pPr>
      <w:pBdr/>
      <w:spacing w:line="240" w:lineRule="auto"/>
      <w:ind/>
    </w:pPr>
    <w:rPr>
      <w:rFonts w:ascii="Calibri" w:hAnsi="Calibri"/>
      <w:b/>
      <w:color w:val="000000"/>
      <w:sz w:val="20"/>
      <w:lang w:val="en-US" w:eastAsia="en-US" w:bidi="en-US"/>
    </w:rPr>
  </w:style>
  <w:style w:type="character" w:styleId="985">
    <w:name w:val="Strong"/>
    <w:basedOn w:val="779"/>
    <w:link w:val="984"/>
    <w:pPr>
      <w:pBdr/>
      <w:spacing/>
      <w:ind/>
    </w:pPr>
    <w:rPr>
      <w:rFonts w:ascii="Calibri" w:hAnsi="Calibri"/>
      <w:b/>
      <w:color w:val="000000"/>
      <w:sz w:val="20"/>
      <w:lang w:val="en-US" w:eastAsia="en-US" w:bidi="en-US"/>
    </w:rPr>
  </w:style>
  <w:style w:type="character" w:styleId="986" w:customStyle="1">
    <w:name w:val="Абзац списка Знак"/>
    <w:basedOn w:val="779"/>
    <w:link w:val="972"/>
    <w:pPr>
      <w:pBdr/>
      <w:spacing/>
      <w:ind/>
    </w:pPr>
  </w:style>
  <w:style w:type="paragraph" w:styleId="987" w:customStyle="1">
    <w:name w:val="Нижний колонтитул1"/>
    <w:basedOn w:val="769"/>
    <w:link w:val="988"/>
    <w:pPr>
      <w:pBdr/>
      <w:tabs>
        <w:tab w:val="center" w:leader="none" w:pos="4677"/>
        <w:tab w:val="right" w:leader="none" w:pos="9355"/>
      </w:tabs>
      <w:spacing w:line="240" w:lineRule="auto"/>
      <w:ind/>
    </w:pPr>
    <w:rPr>
      <w:rFonts w:ascii="Calibri" w:hAnsi="Calibri"/>
      <w:color w:val="000000"/>
      <w:lang w:val="en-US" w:eastAsia="en-US" w:bidi="en-US"/>
    </w:rPr>
  </w:style>
  <w:style w:type="character" w:styleId="988" w:customStyle="1">
    <w:name w:val="Нижний колонтитул2"/>
    <w:basedOn w:val="779"/>
    <w:link w:val="987"/>
    <w:pPr>
      <w:pBdr/>
      <w:spacing/>
      <w:ind/>
    </w:pPr>
    <w:rPr>
      <w:rFonts w:ascii="Calibri" w:hAnsi="Calibri"/>
      <w:color w:val="000000"/>
      <w:lang w:val="en-US" w:eastAsia="en-US" w:bidi="en-US"/>
    </w:rPr>
  </w:style>
  <w:style w:type="character" w:styleId="989" w:customStyle="1">
    <w:name w:val="Strong Emphasis"/>
    <w:qFormat/>
    <w:pPr>
      <w:pBdr/>
      <w:spacing/>
      <w:ind/>
    </w:pPr>
    <w:rPr>
      <w:rFonts w:eastAsia="Arial" w:cs="Arial"/>
      <w:b/>
      <w:color w:val="000000"/>
      <w:sz w:val="22"/>
      <w:szCs w:val="22"/>
      <w:shd w:val="clear" w:color="auto" w:fill="auto"/>
      <w:lang w:val="en-US" w:bidi="en-US"/>
    </w:rPr>
  </w:style>
  <w:style w:type="paragraph" w:styleId="990" w:customStyle="1">
    <w:name w:val="Верхний колонтитул1"/>
    <w:basedOn w:val="769"/>
    <w:uiPriority w:val="99"/>
    <w:unhideWhenUsed/>
    <w:pPr>
      <w:pBdr/>
      <w:tabs>
        <w:tab w:val="center" w:leader="none" w:pos="4677"/>
        <w:tab w:val="right" w:leader="none" w:pos="9355"/>
      </w:tabs>
      <w:spacing w:line="240" w:lineRule="auto"/>
      <w:ind/>
    </w:pPr>
    <w:rPr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F3E5E1-B7D7-4DC2-8BDB-3CEC5509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 Дмитрий Ильич</dc:creator>
  <cp:revision>17</cp:revision>
  <dcterms:created xsi:type="dcterms:W3CDTF">2025-09-02T07:30:00Z</dcterms:created>
  <dcterms:modified xsi:type="dcterms:W3CDTF">2025-09-29T15:06:02Z</dcterms:modified>
</cp:coreProperties>
</file>